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8A" w:rsidRPr="00C623BC" w:rsidRDefault="00CF5A8A" w:rsidP="0035568C">
      <w:pPr>
        <w:widowControl w:val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proofErr w:type="spellStart"/>
      <w:r w:rsidRPr="00C623BC">
        <w:rPr>
          <w:rFonts w:ascii="Times New Roman" w:hAnsi="Times New Roman"/>
          <w:b/>
          <w:color w:val="000000"/>
          <w:sz w:val="36"/>
          <w:szCs w:val="36"/>
        </w:rPr>
        <w:t>Догоспитальное</w:t>
      </w:r>
      <w:proofErr w:type="spellEnd"/>
      <w:r w:rsidRPr="00C623BC">
        <w:rPr>
          <w:rFonts w:ascii="Times New Roman" w:hAnsi="Times New Roman"/>
          <w:b/>
          <w:color w:val="000000"/>
          <w:sz w:val="36"/>
          <w:szCs w:val="36"/>
        </w:rPr>
        <w:t xml:space="preserve"> применение </w:t>
      </w:r>
      <w:proofErr w:type="spellStart"/>
      <w:r w:rsidRPr="00C623BC">
        <w:rPr>
          <w:rFonts w:ascii="Times New Roman" w:hAnsi="Times New Roman"/>
          <w:b/>
          <w:color w:val="000000"/>
          <w:sz w:val="36"/>
          <w:szCs w:val="36"/>
        </w:rPr>
        <w:t>тирофибана</w:t>
      </w:r>
      <w:proofErr w:type="spellEnd"/>
      <w:r w:rsidRPr="00C623BC">
        <w:rPr>
          <w:rFonts w:ascii="Times New Roman" w:hAnsi="Times New Roman"/>
          <w:b/>
          <w:color w:val="000000"/>
          <w:sz w:val="36"/>
          <w:szCs w:val="36"/>
        </w:rPr>
        <w:t xml:space="preserve"> у пациентов с </w:t>
      </w:r>
      <w:proofErr w:type="gramStart"/>
      <w:r w:rsidRPr="00C623BC">
        <w:rPr>
          <w:rFonts w:ascii="Times New Roman" w:hAnsi="Times New Roman"/>
          <w:b/>
          <w:color w:val="000000"/>
          <w:sz w:val="36"/>
          <w:szCs w:val="36"/>
        </w:rPr>
        <w:t>первичной</w:t>
      </w:r>
      <w:proofErr w:type="gramEnd"/>
      <w:r w:rsidRPr="00C623BC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36"/>
          <w:szCs w:val="36"/>
        </w:rPr>
        <w:t>ангиопластикой</w:t>
      </w:r>
      <w:proofErr w:type="spellEnd"/>
      <w:r w:rsidRPr="00C623BC">
        <w:rPr>
          <w:rFonts w:ascii="Times New Roman" w:hAnsi="Times New Roman"/>
          <w:b/>
          <w:color w:val="000000"/>
          <w:sz w:val="36"/>
          <w:szCs w:val="36"/>
        </w:rPr>
        <w:t xml:space="preserve"> по поводу инфаркта миокарда с </w:t>
      </w:r>
      <w:proofErr w:type="spellStart"/>
      <w:r w:rsidRPr="00C623BC">
        <w:rPr>
          <w:rFonts w:ascii="Times New Roman" w:hAnsi="Times New Roman"/>
          <w:b/>
          <w:color w:val="000000"/>
          <w:sz w:val="36"/>
          <w:szCs w:val="36"/>
        </w:rPr>
        <w:t>элевацией</w:t>
      </w:r>
      <w:proofErr w:type="spellEnd"/>
      <w:r w:rsidRPr="00C623BC">
        <w:rPr>
          <w:rFonts w:ascii="Times New Roman" w:hAnsi="Times New Roman"/>
          <w:b/>
          <w:color w:val="000000"/>
          <w:sz w:val="36"/>
          <w:szCs w:val="36"/>
        </w:rPr>
        <w:t xml:space="preserve"> сегмента ST (</w:t>
      </w:r>
      <w:proofErr w:type="spellStart"/>
      <w:r w:rsidRPr="00C623BC">
        <w:rPr>
          <w:rFonts w:ascii="Times New Roman" w:hAnsi="Times New Roman"/>
          <w:b/>
          <w:color w:val="000000"/>
          <w:sz w:val="36"/>
          <w:szCs w:val="36"/>
        </w:rPr>
        <w:t>On</w:t>
      </w:r>
      <w:proofErr w:type="spellEnd"/>
      <w:r w:rsidRPr="00C623BC">
        <w:rPr>
          <w:rFonts w:ascii="Times New Roman" w:hAnsi="Times New Roman"/>
          <w:b/>
          <w:color w:val="000000"/>
          <w:sz w:val="36"/>
          <w:szCs w:val="36"/>
        </w:rPr>
        <w:t xml:space="preserve">-TIME 2): многоцентровое, двойное слепое, </w:t>
      </w:r>
      <w:proofErr w:type="spellStart"/>
      <w:r w:rsidRPr="00C623BC">
        <w:rPr>
          <w:rFonts w:ascii="Times New Roman" w:hAnsi="Times New Roman"/>
          <w:b/>
          <w:color w:val="000000"/>
          <w:sz w:val="36"/>
          <w:szCs w:val="36"/>
        </w:rPr>
        <w:t>рандомизированное</w:t>
      </w:r>
      <w:proofErr w:type="spellEnd"/>
      <w:r w:rsidRPr="00C623BC">
        <w:rPr>
          <w:rFonts w:ascii="Times New Roman" w:hAnsi="Times New Roman"/>
          <w:b/>
          <w:color w:val="000000"/>
          <w:sz w:val="36"/>
          <w:szCs w:val="36"/>
        </w:rPr>
        <w:t xml:space="preserve"> контролируемое исследование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rPr>
          <w:rStyle w:val="41"/>
          <w:rFonts w:ascii="Times New Roman" w:eastAsia="Calibri" w:hAnsi="Times New Roman"/>
          <w:i w:val="0"/>
          <w:sz w:val="24"/>
          <w:szCs w:val="24"/>
        </w:rPr>
      </w:pP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Arnoud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WJ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van't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Hof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Jurrien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ten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Berg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Ton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Heestermans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Thorsten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Dill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Reinhard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C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Funck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Wouter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van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Werkum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Jan-Henk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E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Dambrink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Harry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Suryapranata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Gert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van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Houwelingen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Jan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Paul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Ottervanger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Pieter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Stella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Evangelos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Giannitsis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Christian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Hamm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, представляющие группу исследования «Оценка длительного применения 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тирофибана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 xml:space="preserve"> при инфаркте миокарда (</w:t>
      </w:r>
      <w:proofErr w:type="spellStart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On</w:t>
      </w:r>
      <w:proofErr w:type="spellEnd"/>
      <w:r w:rsidRPr="00C623BC">
        <w:rPr>
          <w:rStyle w:val="41"/>
          <w:rFonts w:ascii="Times New Roman" w:eastAsia="Calibri" w:hAnsi="Times New Roman"/>
          <w:iCs/>
          <w:sz w:val="24"/>
          <w:szCs w:val="24"/>
        </w:rPr>
        <w:t>-TIME) 2»*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pStyle w:val="20"/>
        <w:shd w:val="clear" w:color="auto" w:fill="auto"/>
        <w:spacing w:before="120"/>
        <w:jc w:val="both"/>
        <w:rPr>
          <w:sz w:val="32"/>
          <w:szCs w:val="32"/>
        </w:rPr>
      </w:pPr>
      <w:r w:rsidRPr="00C623BC">
        <w:rPr>
          <w:rStyle w:val="2SegoeUI"/>
          <w:rFonts w:ascii="Times New Roman" w:hAnsi="Times New Roman"/>
          <w:bCs/>
          <w:sz w:val="32"/>
          <w:szCs w:val="32"/>
        </w:rPr>
        <w:t>Резюме</w:t>
      </w:r>
    </w:p>
    <w:p w:rsidR="00CF5A8A" w:rsidRPr="00C623BC" w:rsidRDefault="00CF5A8A" w:rsidP="008B6955">
      <w:pPr>
        <w:pStyle w:val="60"/>
        <w:shd w:val="clear" w:color="auto" w:fill="auto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>Предпосылки</w:t>
      </w:r>
    </w:p>
    <w:p w:rsidR="00CF5A8A" w:rsidRPr="00C623BC" w:rsidRDefault="00CF5A8A" w:rsidP="008B6955">
      <w:pPr>
        <w:pStyle w:val="60"/>
        <w:shd w:val="clear" w:color="auto" w:fill="auto"/>
        <w:spacing w:before="12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C623BC">
        <w:rPr>
          <w:rFonts w:ascii="Times New Roman" w:hAnsi="Times New Roman"/>
          <w:b w:val="0"/>
          <w:sz w:val="24"/>
          <w:szCs w:val="24"/>
        </w:rPr>
        <w:t xml:space="preserve">У пациентов с острым инфарктом миокарда с </w:t>
      </w:r>
      <w:proofErr w:type="spellStart"/>
      <w:r w:rsidRPr="00C623BC">
        <w:rPr>
          <w:rFonts w:ascii="Times New Roman" w:hAnsi="Times New Roman"/>
          <w:b w:val="0"/>
          <w:sz w:val="24"/>
          <w:szCs w:val="24"/>
        </w:rPr>
        <w:t>элевацией</w:t>
      </w:r>
      <w:proofErr w:type="spellEnd"/>
      <w:r w:rsidRPr="00C623BC">
        <w:rPr>
          <w:rFonts w:ascii="Times New Roman" w:hAnsi="Times New Roman"/>
          <w:b w:val="0"/>
          <w:sz w:val="24"/>
          <w:szCs w:val="24"/>
        </w:rPr>
        <w:t xml:space="preserve"> сегмента ST (STEMI) большое значение имеют максимальная эффективность и своевременность проведения </w:t>
      </w:r>
      <w:proofErr w:type="spellStart"/>
      <w:r w:rsidRPr="00C623BC">
        <w:rPr>
          <w:rFonts w:ascii="Times New Roman" w:hAnsi="Times New Roman"/>
          <w:b w:val="0"/>
          <w:sz w:val="24"/>
          <w:szCs w:val="24"/>
        </w:rPr>
        <w:t>антитромбоцитарной</w:t>
      </w:r>
      <w:proofErr w:type="spellEnd"/>
      <w:r w:rsidRPr="00C623BC">
        <w:rPr>
          <w:rFonts w:ascii="Times New Roman" w:hAnsi="Times New Roman"/>
          <w:b w:val="0"/>
          <w:sz w:val="24"/>
          <w:szCs w:val="24"/>
        </w:rPr>
        <w:t xml:space="preserve"> терапии. </w:t>
      </w:r>
      <w:proofErr w:type="gramStart"/>
      <w:r w:rsidRPr="00C623BC">
        <w:rPr>
          <w:rFonts w:ascii="Times New Roman" w:hAnsi="Times New Roman"/>
          <w:b w:val="0"/>
          <w:sz w:val="24"/>
          <w:szCs w:val="24"/>
        </w:rPr>
        <w:t xml:space="preserve">Мы изучили вопрос о том, можно ли улучшить результаты первичной коронарной </w:t>
      </w:r>
      <w:proofErr w:type="spellStart"/>
      <w:r w:rsidRPr="00C623BC">
        <w:rPr>
          <w:rFonts w:ascii="Times New Roman" w:hAnsi="Times New Roman"/>
          <w:b w:val="0"/>
          <w:sz w:val="24"/>
          <w:szCs w:val="24"/>
        </w:rPr>
        <w:t>ангиопластики</w:t>
      </w:r>
      <w:proofErr w:type="spellEnd"/>
      <w:r w:rsidRPr="00C623BC">
        <w:rPr>
          <w:rFonts w:ascii="Times New Roman" w:hAnsi="Times New Roman"/>
          <w:b w:val="0"/>
          <w:sz w:val="24"/>
          <w:szCs w:val="24"/>
        </w:rPr>
        <w:t xml:space="preserve"> (ЧКВ) при помощи раннего назначения блокатора</w:t>
      </w:r>
      <w:proofErr w:type="gramEnd"/>
      <w:r w:rsidRPr="00C623BC">
        <w:rPr>
          <w:rFonts w:ascii="Times New Roman" w:hAnsi="Times New Roman"/>
          <w:b w:val="0"/>
          <w:sz w:val="24"/>
          <w:szCs w:val="24"/>
        </w:rPr>
        <w:t xml:space="preserve"> гликопротеина </w:t>
      </w:r>
      <w:proofErr w:type="spellStart"/>
      <w:r w:rsidRPr="00C623BC">
        <w:rPr>
          <w:rFonts w:ascii="Times New Roman" w:hAnsi="Times New Roman"/>
          <w:b w:val="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b w:val="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 w:val="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b w:val="0"/>
          <w:sz w:val="24"/>
          <w:szCs w:val="24"/>
        </w:rPr>
        <w:t xml:space="preserve"> при первом контакте с пациентом на этапе скорой помощи или специализированного медицинского центра.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sz w:val="24"/>
          <w:szCs w:val="24"/>
        </w:rPr>
      </w:pPr>
      <w:r w:rsidRPr="00C623BC">
        <w:rPr>
          <w:rFonts w:ascii="Times New Roman" w:hAnsi="Times New Roman"/>
          <w:b/>
          <w:sz w:val="24"/>
          <w:szCs w:val="24"/>
        </w:rPr>
        <w:t>Методы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Мы провели двойное слепое </w:t>
      </w:r>
      <w:proofErr w:type="spellStart"/>
      <w:r w:rsidRPr="00C623BC">
        <w:rPr>
          <w:rFonts w:ascii="Times New Roman" w:hAnsi="Times New Roman"/>
          <w:sz w:val="24"/>
          <w:szCs w:val="24"/>
        </w:rPr>
        <w:t>рандомизированное</w:t>
      </w:r>
      <w:proofErr w:type="spellEnd"/>
      <w:r w:rsidRPr="00C623BC">
        <w:rPr>
          <w:rFonts w:ascii="Times New Roman" w:hAnsi="Times New Roman"/>
          <w:sz w:val="24"/>
          <w:szCs w:val="24"/>
        </w:rPr>
        <w:t>, плацебо-контролируемое исследование в 24 центрах в Нидерландах, Германии и Бельгии.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В период с 29 июня 2006 года по 13 ноября 2007 года 984 пациента с STEMI, являвшиеся кандидатами на проведение ЧКВ, были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рандомизированы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группы введения либо высоких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болюсных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доз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(n=491), либо плацебо (N=493), в комбинации с аспирином (500 мг), гепарином (5000 МЕ)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клопидогрелем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(600 мг). Рандомизация проводилась при помощи замаскированных запечатанных наборов, содержавших исследуемый препарат, блоками по 4 пациента. Главным оценочным параметром была степень остаточного отклонения сегмента ST через 1 час после ЧКВ. Анализ проводился в популяции назначенного лечения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intention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treat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). Исследование было зарегистрировано под номером ISRCTN06195297.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sz w:val="24"/>
          <w:szCs w:val="24"/>
        </w:rPr>
      </w:pPr>
      <w:r w:rsidRPr="00C623BC">
        <w:rPr>
          <w:rFonts w:ascii="Times New Roman" w:hAnsi="Times New Roman"/>
          <w:b/>
          <w:sz w:val="24"/>
          <w:szCs w:val="24"/>
        </w:rPr>
        <w:t>Результаты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Девятьсот тридцать шесть (936; 95%) пациентов были </w:t>
      </w:r>
      <w:proofErr w:type="spellStart"/>
      <w:r w:rsidRPr="00C623BC">
        <w:rPr>
          <w:rFonts w:ascii="Times New Roman" w:hAnsi="Times New Roman"/>
          <w:sz w:val="24"/>
          <w:szCs w:val="24"/>
        </w:rPr>
        <w:t>рандомизированы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в группы лечения после того, как службой скорой помощи им был установлен </w:t>
      </w:r>
      <w:proofErr w:type="spellStart"/>
      <w:r w:rsidRPr="00C623BC">
        <w:rPr>
          <w:rFonts w:ascii="Times New Roman" w:hAnsi="Times New Roman"/>
          <w:sz w:val="24"/>
          <w:szCs w:val="24"/>
        </w:rPr>
        <w:t>догоспитальный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диагноз инфаркта миокарда.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Медиана времени от возникновения симптомов до установления диагноза составляла 76 минут (МКР 35-150). </w:t>
      </w:r>
      <w:proofErr w:type="gramStart"/>
      <w:r w:rsidRPr="00C623BC">
        <w:rPr>
          <w:rFonts w:ascii="Times New Roman" w:hAnsi="Times New Roman"/>
          <w:sz w:val="24"/>
          <w:szCs w:val="24"/>
        </w:rPr>
        <w:t xml:space="preserve">Среднее остаточное отклонение сегмента ST перед ЧКВ </w:t>
      </w:r>
      <w:r w:rsidRPr="00C623BC">
        <w:rPr>
          <w:rFonts w:ascii="Times New Roman" w:hAnsi="Times New Roman"/>
          <w:color w:val="000000"/>
          <w:sz w:val="24"/>
          <w:szCs w:val="24"/>
        </w:rPr>
        <w:t>(10,9 мм [ст. 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откл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 9,2] </w:t>
      </w:r>
      <w:r w:rsidRPr="00C623BC">
        <w:rPr>
          <w:rFonts w:ascii="Times New Roman" w:hAnsi="Times New Roman"/>
          <w:i/>
          <w:color w:val="000000"/>
          <w:sz w:val="24"/>
          <w:szCs w:val="24"/>
        </w:rPr>
        <w:t>в сравнении с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12,1 мм [9,4], p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0,028) и через 1 час после ЧКВ (3,6 мм [4,6] </w:t>
      </w:r>
      <w:r w:rsidRPr="00C623BC">
        <w:rPr>
          <w:rFonts w:ascii="Times New Roman" w:hAnsi="Times New Roman"/>
          <w:i/>
          <w:color w:val="000000"/>
          <w:sz w:val="24"/>
          <w:szCs w:val="24"/>
        </w:rPr>
        <w:t>в сравнении с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4,8 мм [6,3], p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0,003) было значительно меньше у пациентов, предварительно получивших высокую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болюсную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дозу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, в сравнении с пациентами, вошедшими в группу плацебо.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 xml:space="preserve">Частота тяжелых кровотечений в двух группах существенно не различалась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(19 [4%] </w:t>
      </w:r>
      <w:r w:rsidRPr="00C623BC">
        <w:rPr>
          <w:rFonts w:ascii="Times New Roman" w:hAnsi="Times New Roman"/>
          <w:i/>
          <w:color w:val="000000"/>
          <w:sz w:val="24"/>
          <w:szCs w:val="24"/>
        </w:rPr>
        <w:t>в сравнении с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14 [3%]; p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0,36).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sz w:val="24"/>
          <w:szCs w:val="24"/>
        </w:rPr>
      </w:pPr>
      <w:r w:rsidRPr="00C623BC">
        <w:rPr>
          <w:rFonts w:ascii="Times New Roman" w:hAnsi="Times New Roman"/>
          <w:b/>
          <w:sz w:val="24"/>
          <w:szCs w:val="24"/>
        </w:rPr>
        <w:t>Обсуждение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Наши данные, свидетельствующие о том, что рутинное </w:t>
      </w:r>
      <w:proofErr w:type="spellStart"/>
      <w:r w:rsidRPr="00C623BC">
        <w:rPr>
          <w:rFonts w:ascii="Times New Roman" w:hAnsi="Times New Roman"/>
          <w:sz w:val="24"/>
          <w:szCs w:val="24"/>
        </w:rPr>
        <w:t>догоспитальное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начало терапии высокими </w:t>
      </w:r>
      <w:proofErr w:type="spellStart"/>
      <w:r w:rsidRPr="00C623BC">
        <w:rPr>
          <w:rFonts w:ascii="Times New Roman" w:hAnsi="Times New Roman"/>
          <w:sz w:val="24"/>
          <w:szCs w:val="24"/>
        </w:rPr>
        <w:t>болюсными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дозами </w:t>
      </w:r>
      <w:proofErr w:type="spellStart"/>
      <w:r w:rsidRPr="00C623BC">
        <w:rPr>
          <w:rFonts w:ascii="Times New Roman" w:hAnsi="Times New Roman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способствует ускорению нормализации сегмента ST и улучшению клинических исходов после ЧКВ, подчеркивают тот факт, что у пациентов с STEMI, подвергающихся ЧКВ, обязательным является дополнительное ингибирование агрегации тромбоцитов, помимо введения высоких доз </w:t>
      </w:r>
      <w:proofErr w:type="spellStart"/>
      <w:r w:rsidRPr="00C623BC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C623BC">
        <w:rPr>
          <w:rFonts w:ascii="Times New Roman" w:hAnsi="Times New Roman"/>
          <w:sz w:val="24"/>
          <w:szCs w:val="24"/>
        </w:rPr>
        <w:t>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sz w:val="24"/>
          <w:szCs w:val="24"/>
        </w:rPr>
      </w:pPr>
      <w:r w:rsidRPr="00C623BC">
        <w:rPr>
          <w:rFonts w:ascii="Times New Roman" w:hAnsi="Times New Roman"/>
          <w:b/>
          <w:sz w:val="24"/>
          <w:szCs w:val="24"/>
        </w:rPr>
        <w:t>Спонсоры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Merck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(США).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623BC">
        <w:rPr>
          <w:rFonts w:ascii="Times New Roman" w:hAnsi="Times New Roman"/>
          <w:b/>
          <w:i/>
          <w:color w:val="000000"/>
          <w:sz w:val="24"/>
          <w:szCs w:val="24"/>
        </w:rPr>
        <w:t>Lancet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2008; 372: 537-46</w:t>
      </w:r>
    </w:p>
    <w:p w:rsidR="00CF5A8A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См. 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Комментарий </w:t>
      </w:r>
      <w:r w:rsidRPr="00C623BC">
        <w:rPr>
          <w:rFonts w:ascii="Times New Roman" w:hAnsi="Times New Roman"/>
          <w:color w:val="000000"/>
          <w:sz w:val="24"/>
          <w:szCs w:val="24"/>
        </w:rPr>
        <w:t>на странице 509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 xml:space="preserve">*Члены группы перечислены в онлайн-приложении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Isala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Klinieken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кардиологическое отделение,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Зволле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Нидерланды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(A W J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van't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Hof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MD, T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Heestermans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MD, J-H E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Dambrink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MD, H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Suryapranata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MD, J P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Ottervanger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St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Antonius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Ziekenhuis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Ньивегейн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Нидерланды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(J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ten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Berg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MD, W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van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Werkum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Kerckhoff-Klinik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GmbH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Бад-Наухайм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Германия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(T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Dill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Prof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C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Hamm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>;</w:t>
      </w:r>
      <w:proofErr w:type="gram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Diagram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BV,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Зволле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Нидерланды,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(H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Suryapranata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Medisch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Spectrum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Twente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Энсхеде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Нидерланды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(G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van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Houwelingen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Utrecht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Medisch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Centrum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Утрехт, Нидерланды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(P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Stella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Philipps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Universitat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Марбург, Германия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(R C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Funck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and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Universitatsklinikum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Heidelberg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, Гейдельберг, Германия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(E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Giannitsis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MD)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Адрес для корреспонденции: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Arnoud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W J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van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't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Hof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Isala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Klinieken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Locatie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Weezenlanden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Department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Cardiology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Groot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Wezenland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20, 8011 JW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Zwolle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Netherlands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66CC"/>
          <w:sz w:val="24"/>
          <w:szCs w:val="24"/>
          <w:u w:val="single"/>
        </w:rPr>
        <w:t>v.r.c.derks@isala.nl</w:t>
      </w:r>
    </w:p>
    <w:p w:rsidR="00CF5A8A" w:rsidRPr="00C623BC" w:rsidRDefault="00CF5A8A" w:rsidP="008B6955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5A8A" w:rsidRPr="00BA4507" w:rsidRDefault="00CF5A8A" w:rsidP="008B6955">
      <w:pPr>
        <w:widowControl w:val="0"/>
        <w:outlineLvl w:val="1"/>
        <w:rPr>
          <w:rFonts w:ascii="Times New Roman" w:hAnsi="Times New Roman"/>
          <w:color w:val="000000"/>
          <w:sz w:val="32"/>
          <w:szCs w:val="32"/>
        </w:rPr>
      </w:pPr>
      <w:r w:rsidRPr="00BA4507">
        <w:rPr>
          <w:rFonts w:ascii="Times New Roman" w:hAnsi="Times New Roman"/>
          <w:b/>
          <w:color w:val="000000"/>
          <w:sz w:val="32"/>
          <w:szCs w:val="32"/>
        </w:rPr>
        <w:t>Введение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>Раннее и полное восстановление кровотока в кровеносном сосуде, связанном с инфарктом, после острого инфаркта миокарда ассоциируется с улучшением выживаемости и клинических исходов.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1-3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осле проведения первичной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чрескожной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коронарной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ангиопластики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(ЧКВ) улучшаются как краткосрочные, так и долгосрочные исходы, в сравнении с проведением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фибринолитической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терапии по поводу острого инфаркта миокарда.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4-6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Положительные эффекты ЧКВ связаны главным образом и ускорением и улучшением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реперфузии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миокарда.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CF5A8A" w:rsidRPr="00C623BC" w:rsidRDefault="00CF5A8A" w:rsidP="008B6955">
      <w:pPr>
        <w:widowControl w:val="0"/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Активация и агрегация тромбоцитов играют ключевую роль в каскаде событий, приводящих к развитию инфаркта миокарда, а также в развитии тромботических осложнений, которые могут сопровождать ЧКВ. </w:t>
      </w:r>
      <w:r w:rsidRPr="00C623BC">
        <w:rPr>
          <w:rFonts w:ascii="Times New Roman" w:hAnsi="Times New Roman"/>
          <w:sz w:val="24"/>
          <w:szCs w:val="24"/>
        </w:rPr>
        <w:t>Недостаточное ингибирование агрегации тромбоцитов в момент ЧКВ коррелирует с повышением вероятности серьезных сердечно-сосудистых нежелательных явлений после подобной процедуры.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Таким образом,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антитромбоцитарная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терапия является важным компонентом лекарственного лечения у пациентов с острым инфарктом миокарда. </w:t>
      </w:r>
      <w:r w:rsidRPr="00C623BC">
        <w:rPr>
          <w:rFonts w:ascii="Times New Roman" w:hAnsi="Times New Roman"/>
          <w:sz w:val="24"/>
          <w:szCs w:val="24"/>
        </w:rPr>
        <w:t xml:space="preserve">Трехкомпонентная </w:t>
      </w:r>
      <w:proofErr w:type="spellStart"/>
      <w:r w:rsidRPr="00C623BC">
        <w:rPr>
          <w:rFonts w:ascii="Times New Roman" w:hAnsi="Times New Roman"/>
          <w:sz w:val="24"/>
          <w:szCs w:val="24"/>
        </w:rPr>
        <w:t>антитромбоцитарная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терапия, включающая аспирин, </w:t>
      </w:r>
      <w:proofErr w:type="spellStart"/>
      <w:r w:rsidRPr="00C623BC">
        <w:rPr>
          <w:rFonts w:ascii="Times New Roman" w:hAnsi="Times New Roman"/>
          <w:sz w:val="24"/>
          <w:szCs w:val="24"/>
        </w:rPr>
        <w:t>тиенопиридин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и блокатор гликопротеина </w:t>
      </w:r>
      <w:proofErr w:type="spellStart"/>
      <w:r w:rsidRPr="00C623BC">
        <w:rPr>
          <w:rFonts w:ascii="Times New Roman" w:hAnsi="Times New Roman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, рекомендуется пациентам высокого риска с острыми коронарными синдромами без </w:t>
      </w:r>
      <w:proofErr w:type="spellStart"/>
      <w:r w:rsidRPr="00C623BC">
        <w:rPr>
          <w:rFonts w:ascii="Times New Roman" w:hAnsi="Times New Roman"/>
          <w:sz w:val="24"/>
          <w:szCs w:val="24"/>
        </w:rPr>
        <w:t>элевации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сегмента ST.</w:t>
      </w:r>
      <w:r w:rsidRPr="00C623BC">
        <w:rPr>
          <w:rFonts w:ascii="Times New Roman" w:hAnsi="Times New Roman"/>
          <w:sz w:val="24"/>
          <w:szCs w:val="24"/>
          <w:vertAlign w:val="superscript"/>
        </w:rPr>
        <w:t>8</w:t>
      </w:r>
      <w:proofErr w:type="gramStart"/>
      <w:r w:rsidRPr="00C623BC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C623BC">
        <w:rPr>
          <w:rFonts w:ascii="Times New Roman" w:hAnsi="Times New Roman"/>
          <w:sz w:val="24"/>
          <w:szCs w:val="24"/>
        </w:rPr>
        <w:t xml:space="preserve">есмотря на то, что во многих исследованиях описаны </w:t>
      </w:r>
      <w:r w:rsidRPr="00C623BC">
        <w:rPr>
          <w:rFonts w:ascii="Times New Roman" w:hAnsi="Times New Roman"/>
          <w:sz w:val="24"/>
          <w:szCs w:val="24"/>
        </w:rPr>
        <w:lastRenderedPageBreak/>
        <w:t xml:space="preserve">благоприятные результаты рутинной терапии блокатором гликопротеина </w:t>
      </w:r>
      <w:proofErr w:type="spellStart"/>
      <w:r w:rsidRPr="00C623BC">
        <w:rPr>
          <w:rFonts w:ascii="Times New Roman" w:hAnsi="Times New Roman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незадолго до проведения ЧКВ,</w:t>
      </w:r>
      <w:r w:rsidRPr="00C623BC">
        <w:rPr>
          <w:rFonts w:ascii="Times New Roman" w:hAnsi="Times New Roman"/>
          <w:sz w:val="24"/>
          <w:szCs w:val="24"/>
          <w:vertAlign w:val="superscript"/>
        </w:rPr>
        <w:t>9,10</w:t>
      </w:r>
      <w:r w:rsidRPr="00C623BC">
        <w:rPr>
          <w:rFonts w:ascii="Times New Roman" w:hAnsi="Times New Roman"/>
          <w:sz w:val="24"/>
          <w:szCs w:val="24"/>
        </w:rPr>
        <w:t xml:space="preserve"> дополнительная ценность ранней </w:t>
      </w:r>
      <w:proofErr w:type="spellStart"/>
      <w:r w:rsidRPr="00C623BC">
        <w:rPr>
          <w:rFonts w:ascii="Times New Roman" w:hAnsi="Times New Roman"/>
          <w:sz w:val="24"/>
          <w:szCs w:val="24"/>
        </w:rPr>
        <w:t>догоспитальной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блокады </w:t>
      </w:r>
      <w:proofErr w:type="spellStart"/>
      <w:r w:rsidRPr="00C623BC">
        <w:rPr>
          <w:rFonts w:ascii="Times New Roman" w:hAnsi="Times New Roman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в дополнение к двухкомпонентной </w:t>
      </w:r>
      <w:proofErr w:type="spellStart"/>
      <w:r w:rsidRPr="00C623BC">
        <w:rPr>
          <w:rFonts w:ascii="Times New Roman" w:hAnsi="Times New Roman"/>
          <w:sz w:val="24"/>
          <w:szCs w:val="24"/>
        </w:rPr>
        <w:t>антитромбоцитарной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терапии, включающей высокие дозы </w:t>
      </w:r>
      <w:proofErr w:type="spellStart"/>
      <w:r w:rsidRPr="00C623BC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, у пациентов с острым инфарктом миокарда не </w:t>
      </w:r>
      <w:proofErr w:type="gramStart"/>
      <w:r w:rsidRPr="00C623B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C623BC">
        <w:rPr>
          <w:rFonts w:ascii="Times New Roman" w:hAnsi="Times New Roman"/>
          <w:sz w:val="24"/>
          <w:szCs w:val="24"/>
        </w:rPr>
        <w:t xml:space="preserve">. Аналогично, предметом исследований до сих пор является оптимальное время введения </w:t>
      </w:r>
      <w:proofErr w:type="spellStart"/>
      <w:r w:rsidRPr="00C623BC">
        <w:rPr>
          <w:rFonts w:ascii="Times New Roman" w:hAnsi="Times New Roman"/>
          <w:sz w:val="24"/>
          <w:szCs w:val="24"/>
        </w:rPr>
        <w:t>антитромбоцитарных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23BC">
        <w:rPr>
          <w:rFonts w:ascii="Times New Roman" w:hAnsi="Times New Roman"/>
          <w:sz w:val="24"/>
          <w:szCs w:val="24"/>
        </w:rPr>
        <w:t>антитромботических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препаратов у таких пациентов.</w:t>
      </w:r>
      <w:r w:rsidRPr="00C623BC">
        <w:rPr>
          <w:rFonts w:ascii="Times New Roman" w:hAnsi="Times New Roman"/>
          <w:sz w:val="24"/>
          <w:szCs w:val="24"/>
          <w:vertAlign w:val="superscript"/>
        </w:rPr>
        <w:t>11,12</w:t>
      </w:r>
    </w:p>
    <w:p w:rsidR="00CF5A8A" w:rsidRPr="00C623BC" w:rsidRDefault="00CF5A8A" w:rsidP="008B6955">
      <w:pPr>
        <w:pStyle w:val="22"/>
        <w:shd w:val="clear" w:color="auto" w:fill="auto"/>
        <w:spacing w:before="120" w:line="240" w:lineRule="auto"/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Мы изучили вопрос о том, можно ли улучшить результаты ЧКВ при помощи раннего назначения блокатора гликопротеина </w:t>
      </w:r>
      <w:proofErr w:type="spellStart"/>
      <w:r w:rsidRPr="00C623BC">
        <w:rPr>
          <w:rFonts w:ascii="Times New Roman" w:hAnsi="Times New Roman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при первом контакте с пациентом на этапе скорой помощи или специализированного медицинского центра.</w:t>
      </w:r>
    </w:p>
    <w:p w:rsidR="00CF5A8A" w:rsidRPr="00C623BC" w:rsidRDefault="00CF5A8A" w:rsidP="008B6955">
      <w:pPr>
        <w:pStyle w:val="22"/>
        <w:shd w:val="clear" w:color="auto" w:fill="auto"/>
        <w:spacing w:before="120" w:line="240" w:lineRule="auto"/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pStyle w:val="a0"/>
        <w:shd w:val="clear" w:color="auto" w:fill="auto"/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3BC">
        <w:rPr>
          <w:rStyle w:val="Sylfaen"/>
          <w:rFonts w:ascii="Times New Roman" w:eastAsia="Calibri" w:hAnsi="Times New Roman"/>
          <w:b/>
          <w:iCs/>
          <w:sz w:val="24"/>
          <w:szCs w:val="24"/>
        </w:rPr>
        <w:t>Рисунок 1.</w:t>
      </w:r>
      <w:r w:rsidRPr="00C623BC">
        <w:rPr>
          <w:rFonts w:ascii="Times New Roman" w:hAnsi="Times New Roman"/>
          <w:b/>
          <w:sz w:val="24"/>
          <w:szCs w:val="24"/>
        </w:rPr>
        <w:t xml:space="preserve"> Характеристика исследования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987A98" w:rsidP="008B6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6.9pt;height:452.65pt;visibility:visible">
            <v:imagedata r:id="rId7" o:title=""/>
          </v:shape>
        </w:pic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984 patients enrolled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Включено 984 пациента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984 randomly assigned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Рандомизировано</w:t>
            </w:r>
            <w:proofErr w:type="spell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 984 пациента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lastRenderedPageBreak/>
              <w:t xml:space="preserve">491 assigned to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pretreatment</w:t>
            </w:r>
            <w:proofErr w:type="spell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 with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tirofiban</w:t>
            </w:r>
            <w:proofErr w:type="spellEnd"/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491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рандомизированы</w:t>
            </w:r>
            <w:proofErr w:type="spell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 в группу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премедикации</w:t>
            </w:r>
            <w:proofErr w:type="spell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тирофибаном</w:t>
            </w:r>
            <w:proofErr w:type="spellEnd"/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493 assigned to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pretreatment</w:t>
            </w:r>
            <w:proofErr w:type="spell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 with placebo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493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рандомизированы</w:t>
            </w:r>
            <w:proofErr w:type="spell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 в группу </w:t>
            </w:r>
            <w:proofErr w:type="spell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премедикации</w:t>
            </w:r>
            <w:proofErr w:type="spell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 плацебо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9 did not undergo angiography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 died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5 clear false positive diagnoses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9 не проходили ангиографию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4 умерли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5 поставлены ложноположительные диагнозы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5 did not undergo angiography because of a clear false positive diagnosis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5 не проходили ангиографию в связи с четким ложноположительным диагнозом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482 underwent angiography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482 прошли ангиографию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488 underwent angiography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488 прошли ангиографию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14 CABG indicated (11 assessed for primary endpoint)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46 treated conservatively (31 assessed for primary endpoint)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14 показано АКШ (у 11 проведена оценка первичного критерия)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46 получали консервативное лечение (у 31 проведена оценка первичного критерия)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13 CABG indicated (9 assessed for primary endpoint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36 treated conservatively (29 assessed for primary endpoint)</w:t>
            </w:r>
          </w:p>
        </w:tc>
        <w:tc>
          <w:tcPr>
            <w:tcW w:w="4673" w:type="dxa"/>
          </w:tcPr>
          <w:p w:rsidR="00CF5A8A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13 показано АКШ (у 9 проведена оценка первичного критерия)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36 получали консервативное лечение (у 29 проведена оценка первичного критерия)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422 underwent PCI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422 проведено ЧКВ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439 underwent PCI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439 проведено ЧКВ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40 could not be assessed for primary endpoint (but included in clinical follow-up)</w:t>
            </w:r>
          </w:p>
          <w:p w:rsidR="00CF5A8A" w:rsidRPr="00987A98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 died on day 0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9 false positive diagnoses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1 resuscitated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2 urgent surgery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2 early transportation back to referral hospital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15 missing ECG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7 ECG not analysable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40 не было оценки первичного критерия (но они были включены в клиническое наблюдение)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4 умерли в день 0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9 поставлены ложноположительные диагнозы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В 1 проведена успешная реанимация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2 проведена экстренная операция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2 - ранняя транспортировка обратно в специализированную клинику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отсутствовали</w:t>
            </w:r>
            <w:proofErr w:type="gramEnd"/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 xml:space="preserve"> ЭКГ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7 ЭКГ не подлежали анализу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38 could not be assessed for primary endpoint (but included in clinical follow-up)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4 died on day 0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7 false positive diagnoses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3 urgent surgery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1 early transportation back to referral hospital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15 missing ECG</w:t>
            </w:r>
          </w:p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  <w:t>8 ECG not analysable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38 не было оценки первичного критерия (но они были включены в клиническое наблюдение)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4 умерли в день 0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7 поставлены ложноположительные диагнозы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3 проведена экстренная операция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1 - ранняя транспортировка обратно в специализированную клинику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15 отсутствовали ЭКГ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Style w:val="2Calibri"/>
                <w:rFonts w:ascii="Times New Roman" w:eastAsia="Calibri" w:hAnsi="Times New Roman"/>
                <w:sz w:val="24"/>
                <w:szCs w:val="24"/>
              </w:rPr>
              <w:t>У 8 ЭКГ не подлежали анализу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451 assessed for primary endpoint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У 451 проведена оценка первичного критерия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455 assessed for primary endpoint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У 455 проведена оценка первичного критерия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8E0FD9" w:rsidRDefault="00CF5A8A" w:rsidP="000A19E7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14 refused writ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ten consent or withdrew consent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 xml:space="preserve">4 lost to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folllow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-up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 отказались от подписания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согласия или отозвали согласие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потеряны для наблюдения</w:t>
            </w:r>
            <w:proofErr w:type="gramEnd"/>
          </w:p>
        </w:tc>
      </w:tr>
      <w:tr w:rsidR="00CF5A8A" w:rsidRPr="00C623BC" w:rsidTr="00E309BD">
        <w:tc>
          <w:tcPr>
            <w:tcW w:w="4672" w:type="dxa"/>
          </w:tcPr>
          <w:p w:rsidR="00CF5A8A" w:rsidRPr="00987A98" w:rsidRDefault="00CF5A8A" w:rsidP="000A19E7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>13 refu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sed written consent or withdrew</w:t>
            </w:r>
          </w:p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 lost to follow-up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13 отказались от подписания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согласия или отозвали согласие</w:t>
            </w:r>
          </w:p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3 потеряны для наблюдения</w:t>
            </w:r>
            <w:proofErr w:type="gramEnd"/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473 had clinical follow-up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jc w:val="left"/>
              <w:rPr>
                <w:rStyle w:val="2Calibri"/>
                <w:rFonts w:ascii="Times New Roman" w:eastAsia="Calibri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473 прошли клиническое наблюдение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Style w:val="2Calibri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477 had clinical follow-up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477 прошли клиническое наблюдение</w:t>
            </w:r>
          </w:p>
        </w:tc>
      </w:tr>
    </w:tbl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pStyle w:val="a0"/>
        <w:shd w:val="clear" w:color="auto" w:fill="auto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ЧКВ = </w:t>
      </w:r>
      <w:proofErr w:type="spellStart"/>
      <w:r w:rsidRPr="00C623BC">
        <w:rPr>
          <w:rFonts w:ascii="Times New Roman" w:hAnsi="Times New Roman"/>
          <w:sz w:val="24"/>
          <w:szCs w:val="24"/>
        </w:rPr>
        <w:t>чрескожное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коронарное вмешательство. АКШ = аортокоронарное шунтирование.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rPr>
          <w:rFonts w:ascii="Times New Roman" w:hAnsi="Times New Roman"/>
          <w:sz w:val="32"/>
          <w:szCs w:val="32"/>
        </w:rPr>
      </w:pPr>
      <w:r w:rsidRPr="00C623BC">
        <w:rPr>
          <w:rStyle w:val="51"/>
          <w:rFonts w:ascii="Times New Roman" w:eastAsia="Calibri" w:hAnsi="Times New Roman"/>
          <w:bCs/>
          <w:sz w:val="32"/>
          <w:szCs w:val="32"/>
        </w:rPr>
        <w:t>Методы</w:t>
      </w:r>
    </w:p>
    <w:p w:rsidR="00CF5A8A" w:rsidRPr="00C623BC" w:rsidRDefault="00CF5A8A" w:rsidP="008B6955">
      <w:pPr>
        <w:pStyle w:val="80"/>
        <w:shd w:val="clear" w:color="auto" w:fill="auto"/>
        <w:spacing w:before="120" w:line="240" w:lineRule="auto"/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>Дизайн исследования и пациенты</w:t>
      </w:r>
    </w:p>
    <w:p w:rsidR="00CF5A8A" w:rsidRPr="00C623BC" w:rsidRDefault="00CF5A8A" w:rsidP="008B6955">
      <w:pPr>
        <w:pStyle w:val="22"/>
        <w:shd w:val="clear" w:color="auto" w:fill="auto"/>
        <w:spacing w:before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Исследование «Оценка длительного применения </w:t>
      </w:r>
      <w:proofErr w:type="spellStart"/>
      <w:r w:rsidRPr="00C623BC">
        <w:rPr>
          <w:rFonts w:ascii="Times New Roman" w:hAnsi="Times New Roman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при инфаркте миокарда (</w:t>
      </w:r>
      <w:proofErr w:type="spellStart"/>
      <w:r w:rsidRPr="00C623BC">
        <w:rPr>
          <w:rFonts w:ascii="Times New Roman" w:hAnsi="Times New Roman"/>
          <w:sz w:val="24"/>
          <w:szCs w:val="24"/>
        </w:rPr>
        <w:t>On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-TIME) 2» представляло собой </w:t>
      </w:r>
      <w:proofErr w:type="spellStart"/>
      <w:r w:rsidRPr="00C623BC">
        <w:rPr>
          <w:rFonts w:ascii="Times New Roman" w:hAnsi="Times New Roman"/>
          <w:sz w:val="24"/>
          <w:szCs w:val="24"/>
        </w:rPr>
        <w:t>проспективное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многоцентровое, плацебо-контролируемое </w:t>
      </w:r>
      <w:proofErr w:type="spellStart"/>
      <w:r w:rsidRPr="00C623BC">
        <w:rPr>
          <w:rFonts w:ascii="Times New Roman" w:hAnsi="Times New Roman"/>
          <w:sz w:val="24"/>
          <w:szCs w:val="24"/>
        </w:rPr>
        <w:t>рандомизированное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клиническое исследование.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Обоснование и дизайн исследования описаны ранее</w:t>
      </w:r>
      <w:r w:rsidRPr="00C623BC">
        <w:rPr>
          <w:rFonts w:ascii="Times New Roman" w:hAnsi="Times New Roman"/>
          <w:color w:val="000000"/>
          <w:sz w:val="24"/>
          <w:szCs w:val="24"/>
        </w:rPr>
        <w:t>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13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Набор пациентов в исследование происходил с 29 июня 2006 года по 13 ноября 2007 года в 24 участвующих центрах трех стран (Нидерланды, Германия и Бельгия). Популяция пациентов исследования состояла из пациентов с инфарктом миокарда с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элевацией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сегмента ST (STEMI), являвшихся кандидатами на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первичное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ЧКВ. Критериям отбора в исследование соответствовали мужчины и женщины в возрасте от 21 до 85 лет с симптомами острого инфаркта миокарда, сохраняющимися более 30 минут, но менее 24 часов,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элевацией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сегмента ST более чем на 1 мВ в двух соседних отведениях электрокардиограммы (ЭКГ).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Критериями исключения являлись подтвержденная тяжелая дисфункция почек (скорость клубочковой фильтрации &lt;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30 мл/мин или уровень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креатинина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сыворотке &gt;200 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ммоль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/л [&gt;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2,5 мг/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дл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]), резистентный к терапии кардиогенный шок (систолическое артериальное давление ≤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80 мм рт. ст. в течение &gt;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30 минут), стойкая тяжелая гипертензия (систолическое давление &gt;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180 мм рт. ст. или диастолическое давление &gt;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110 мм рт. ст.) или наличие противопоказаний к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антикоагулянтной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терапии или повышенный риск кровотечений. Кроме того, мы исключали пациентов с блокадой левой ножки пучка Гиса, беременных и кормящих грудью женщин и пациентов с ожидаемой продолжительностью жизни менее 1 года.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>Письменное информированное согласие получали либо врач, либо медицинская сестра отделения интенсивной терапии на этапе оказания скорой медицинской помощи или в специализированной клинике. Протокол исследования был одобрен всеми местными этическими комитетами участвовавших медицинских учреждений.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color w:val="000000"/>
          <w:sz w:val="24"/>
          <w:szCs w:val="24"/>
        </w:rPr>
        <w:t>Процедуры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Пациенты были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рандомизированы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группы, получавшие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догоспитальную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терапию либо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(25 мкг/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кг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болюсом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инфузию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поддерживающей дозы 0,15 мкг/кг/мин в течение 18 часов), либо плацебо (болюс плюс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инфузия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), которые выдавались в виде замаскированных запечатанных наборов, содержавших исследуемый препарат. Ни персонал клиники, ни исследовательский персонал не имели сведений о проводимом лечении. Наборы с исследуемыми препаратами выдавались в службы скорой помощи или специализированные медицинские центры блоками по четыре (два содержали активный препарат, два - плацебо). Служба скорой помощи или персонал специализированного центра всем пациентам, кроме того, болюсом внутривенно вводили 5000 МЕ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нефракционированного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гепарина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Heparine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Choay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Sanofi-Aventis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Париж, Франция) </w:t>
      </w:r>
      <w:r w:rsidRPr="00C623BC">
        <w:rPr>
          <w:rFonts w:ascii="Times New Roman" w:hAnsi="Times New Roman"/>
          <w:color w:val="000000"/>
          <w:sz w:val="24"/>
          <w:szCs w:val="24"/>
        </w:rPr>
        <w:lastRenderedPageBreak/>
        <w:t>вместе с аспирином в дозе 500 мг внутривенно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Aspegic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Sanofi-Aventis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Масслёйс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Нидерланды) и нагрузочной дозой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клопидогреля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- 600 мг перорально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Плавикс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Sanofi-Winthrop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Industry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Кетиньи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Франция). Перед ЧКВ вводили дополнительную дозу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нефракционированного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гепарина, если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активированное время свертывания не достигало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200 секунд.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Коронарную ангиографию и ЧКВ проводили в соответствии с инструкциями и стандартами каждого лечебного учреждения.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 xml:space="preserve">Перед, во время или после ЧКВ разрешалось ввести «спасительную» дозу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при наличии каких-либо из перечисленных ниже показаний: ослабление кровотока по классификации исследования «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Тромболизис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при инфаркте миокарда» (TIMI) (категории кровотока по TIMI 0-2 или медленное восстановление дистального кровотока);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диссекция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со снижением кровотока; дистальная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эмболизация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; окклюзия боковой ветви коронарной артерии; острая окклюзия виновного сосуда;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клиническая нестабильность; и длительно сохраняющаяся ишемия. Неотложное введение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осуществлялось также в виде высокой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дозы (болюс 25 мкг/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кг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). Мы включили в набор с медикаментами флаконы для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болюсного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экстренного введения «спасительной» дозы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 целью поддержания маскировки первичной группы лечения и для обеспечения соответствия содержанию первичной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инфузии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 При введении «спасительного» болюса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инфузию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исследуемого препарата заменяли открытой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инфузией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поддерживающей дозы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>Главным оценочным параметром эффективности была степень остаточного отклонения сегмента ST через 1 час после ЧКВ, согласно приведенному ранее описанию.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14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Суммарное отклонение сегмента ST во всех 12 отведениях измерялось через 20 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мс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после окончания комплекса QRS при помощи штангенциркуля. Мы рассчитывали как остаточное отклонение сегмента ST на одной ЭКГ после ЧКВ, так и разрешение отклонения сегмента ST на парных ЭКГ.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Мы разделили пациентов на четыре группы в зависимости от остаточного отклонения сегмента ST (0 мм: нормализация сегмента ST и отсутствие остаточного отклонения сегмента ST; 1-3 мм; 4-6 мм; и &gt;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6 мм) и на три группы в зависимости от разрешения отклонения сегмента ST (полное: разрешение более чем на 70%; частичное: разрешение более чем на 30%, но менее чем на 70%;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отсутствие разрешения: </w:t>
      </w:r>
      <w:r w:rsidRPr="00C623BC">
        <w:rPr>
          <w:rFonts w:ascii="Times New Roman" w:hAnsi="Times New Roman"/>
          <w:sz w:val="24"/>
          <w:szCs w:val="24"/>
        </w:rPr>
        <w:t>разрешение менее чем на 30%), как это было описано ранее.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14-15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Главным дополнительным анализируемым показателем был составной показатель частоты смерти, рецидива инфаркта миокарда, ургентной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реваскуляризации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целевого сосуда (РЦС) или «спасительного» применения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слепом режиме в течение 30 дней. Другими дополнительными анализируемыми показателями были кровоток в сосуде, связанном с инфарктом, 3 категории по классификации TIMI при первичной ангиографии и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дистальная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эмболизация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после ЧКВ. Все ЭКГ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ангиограммы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анализировала независимая центральная лаборатория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Diagram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BV,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Зволле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, Нидерланды).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Независимый комитет по клиническим показателям в слепом режиме выносил единое решение по всем клиническим оценочным параметрам, кроме смерти. При оценке летальных исходов учитывались случаи смерти от любых причин. Под рецидивирующим инфарктом миокарда понимали новое повышение уровня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креатинкиназы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МВ в три и более раза по отношению к верхней границе нормы, присутствующее в двух отдельных образцах крови и сопровождающееся болью в грудной клетке или изменениями ЭКГ. Ранний рецидив инфаркта миокарда подразумевал снижение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креатинкиназы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МВ как минимум на 50%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от верхней границы нормы по отношению к предшествующей максимальной концентрации до минимума с последующим новым повышением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 значения, превышающего сумму предшествующего минимума и трехкратного верхнего предельного значения. </w:t>
      </w:r>
      <w:proofErr w:type="gramStart"/>
      <w:r w:rsidRPr="00C623BC">
        <w:rPr>
          <w:rFonts w:ascii="Times New Roman" w:hAnsi="Times New Roman"/>
          <w:sz w:val="24"/>
          <w:szCs w:val="24"/>
        </w:rPr>
        <w:t>Неотложная</w:t>
      </w:r>
      <w:proofErr w:type="gramEnd"/>
      <w:r w:rsidRPr="00C623BC">
        <w:rPr>
          <w:rFonts w:ascii="Times New Roman" w:hAnsi="Times New Roman"/>
          <w:sz w:val="24"/>
          <w:szCs w:val="24"/>
        </w:rPr>
        <w:t xml:space="preserve"> РЦС во время госпитализации определялась как новый эпизод ишемических признаков или симптомов в покое с наличием документально подтвержденного нового смещения сегмента ST на 0,05 мВ (0,5 мм) или более на ЭКГ в </w:t>
      </w:r>
      <w:r w:rsidRPr="00C623BC">
        <w:rPr>
          <w:rFonts w:ascii="Times New Roman" w:hAnsi="Times New Roman"/>
          <w:sz w:val="24"/>
          <w:szCs w:val="24"/>
        </w:rPr>
        <w:lastRenderedPageBreak/>
        <w:t>12-отведениях, требующие незапланированного коронарного вмешательства или коронарного шунтирования.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>Параметрами безопасности, рассмотренными в исследовании, служили частота кровотечений, гемотрансфузий, инсультов, тромбоцитопении и серьезные нежелательные явления. Независимый комитет по мониторингу данных и безопасности отвечал за выявление проблем, связанных с безопасностью, и представлял Исполнительному комитету рекомендации в отношении внесения изменений в ход исследования или досрочного его прекращения. Кровотечения оценивали по критериям TIMI.</w:t>
      </w:r>
      <w:r w:rsidRPr="00C623BC">
        <w:rPr>
          <w:rFonts w:ascii="Times New Roman" w:hAnsi="Times New Roman"/>
          <w:sz w:val="24"/>
          <w:szCs w:val="24"/>
          <w:vertAlign w:val="superscript"/>
        </w:rPr>
        <w:t>16</w:t>
      </w:r>
      <w:proofErr w:type="gramStart"/>
      <w:r w:rsidRPr="00C623B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623BC">
        <w:rPr>
          <w:rFonts w:ascii="Times New Roman" w:hAnsi="Times New Roman"/>
          <w:sz w:val="24"/>
          <w:szCs w:val="24"/>
        </w:rPr>
        <w:t>од серьезным кровотечением мы понимали явные клинические признаки кровотечения, ассоциирующиеся со снижением уровня гемоглобина более чем на 50 г/л (или - в случае невозможности оценки уровня гемоглобина - снижением уровня гематокрита на 15% и более). У пациентов, которым проводилась операция коронарного шунтирования, мы оценивали также частоту проведения повторных хирургических вмешательств по поводу кровотечений и объем послеоперационной кровопотери. Информацию, относящуюся к последующему наблюдению за пациентами, получали в ходе посещений амбулаторной клиники после выписки или путем контакта по телефону через 30 дней.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rPr>
          <w:rFonts w:ascii="Times New Roman" w:hAnsi="Times New Roman"/>
          <w:b/>
          <w:sz w:val="24"/>
          <w:szCs w:val="24"/>
        </w:rPr>
      </w:pPr>
      <w:r w:rsidRPr="00C623BC">
        <w:rPr>
          <w:rFonts w:ascii="Times New Roman" w:hAnsi="Times New Roman"/>
          <w:b/>
          <w:sz w:val="24"/>
          <w:szCs w:val="24"/>
        </w:rPr>
        <w:t>Статистический анализ</w:t>
      </w:r>
    </w:p>
    <w:p w:rsidR="00CF5A8A" w:rsidRPr="00C623BC" w:rsidRDefault="00CF5A8A" w:rsidP="008B6955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623BC">
        <w:rPr>
          <w:rFonts w:ascii="Times New Roman" w:hAnsi="Times New Roman"/>
          <w:sz w:val="24"/>
          <w:szCs w:val="24"/>
        </w:rPr>
        <w:t xml:space="preserve">Расчет размера выборки был основан на предположении о том, что остаточное отклонение сегмента ST более чем на 3 мм через 1 час после ЧКВ имеет место у 50% неотобранных пациентов с инфарктом миокарда, не получавших терапии блокатором гликопротеина </w:t>
      </w:r>
      <w:proofErr w:type="spellStart"/>
      <w:r w:rsidRPr="00C623BC">
        <w:rPr>
          <w:rFonts w:ascii="Times New Roman" w:hAnsi="Times New Roman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sz w:val="24"/>
          <w:szCs w:val="24"/>
        </w:rPr>
        <w:t>/II</w:t>
      </w:r>
      <w:r w:rsidRPr="00C623BC">
        <w:rPr>
          <w:rFonts w:ascii="Times New Roman" w:hAnsi="Times New Roman"/>
          <w:sz w:val="24"/>
          <w:szCs w:val="24"/>
          <w:lang w:val="en-US"/>
        </w:rPr>
        <w:t>I</w:t>
      </w:r>
      <w:r w:rsidRPr="00C623BC">
        <w:rPr>
          <w:rFonts w:ascii="Times New Roman" w:hAnsi="Times New Roman"/>
          <w:sz w:val="24"/>
          <w:szCs w:val="24"/>
        </w:rPr>
        <w:t>a в дополнение к аспирину, гепарину и клопидогрелю.</w:t>
      </w:r>
      <w:r w:rsidRPr="00C623BC">
        <w:rPr>
          <w:rFonts w:ascii="Times New Roman" w:hAnsi="Times New Roman"/>
          <w:sz w:val="24"/>
          <w:szCs w:val="24"/>
          <w:vertAlign w:val="superscript"/>
        </w:rPr>
        <w:t>14</w:t>
      </w:r>
      <w:r w:rsidRPr="00C623BC">
        <w:rPr>
          <w:rFonts w:ascii="Times New Roman" w:hAnsi="Times New Roman"/>
          <w:sz w:val="24"/>
          <w:szCs w:val="24"/>
        </w:rPr>
        <w:t xml:space="preserve"> Лечение высокими </w:t>
      </w:r>
      <w:proofErr w:type="spellStart"/>
      <w:r w:rsidRPr="00C623BC">
        <w:rPr>
          <w:rFonts w:ascii="Times New Roman" w:hAnsi="Times New Roman"/>
          <w:sz w:val="24"/>
          <w:szCs w:val="24"/>
        </w:rPr>
        <w:t>болюсными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дозами </w:t>
      </w:r>
      <w:proofErr w:type="spellStart"/>
      <w:r w:rsidRPr="00C623BC">
        <w:rPr>
          <w:rFonts w:ascii="Times New Roman" w:hAnsi="Times New Roman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предположительно должно было снизить вероятность остаточного отклонения</w:t>
      </w:r>
      <w:proofErr w:type="gramEnd"/>
      <w:r w:rsidRPr="00C623BC">
        <w:rPr>
          <w:rFonts w:ascii="Times New Roman" w:hAnsi="Times New Roman"/>
          <w:sz w:val="24"/>
          <w:szCs w:val="24"/>
        </w:rPr>
        <w:t xml:space="preserve"> сегмента ST более чем на 3 мм на 20% (относительно), с 50% до 40%. С учетом этих предположений, при 80% мощности и α=0,05 для демонстрации превосходства </w:t>
      </w:r>
      <w:proofErr w:type="spellStart"/>
      <w:r w:rsidRPr="00C623BC">
        <w:rPr>
          <w:rFonts w:ascii="Times New Roman" w:hAnsi="Times New Roman"/>
          <w:sz w:val="24"/>
          <w:szCs w:val="24"/>
        </w:rPr>
        <w:t>премедикации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требовалось изучить 814 пациентов </w:t>
      </w:r>
      <w:r w:rsidRPr="00C623BC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407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каждой группе исследования). С учетом вероятности получения неполных или не подлежащих интерпретации данных ЭКГ и ложноположительных диагнозов по ЭКГ приблизительно у 15% пациентов мы рассчитали, что требуется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рандомизировать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958 пациентов.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Все анализы проводились в соответствии с принципом планируемого лечения. </w:t>
      </w:r>
      <w:r w:rsidRPr="00C623BC">
        <w:rPr>
          <w:rFonts w:ascii="Times New Roman" w:hAnsi="Times New Roman"/>
          <w:sz w:val="24"/>
          <w:szCs w:val="24"/>
        </w:rPr>
        <w:t xml:space="preserve">Мы проанализировали первичные и дополнительные параметры эффективности при помощи критерия </w:t>
      </w:r>
      <w:r w:rsidRPr="00C623BC">
        <w:rPr>
          <w:rFonts w:ascii="Times New Roman" w:hAnsi="Times New Roman"/>
          <w:color w:val="000000"/>
          <w:sz w:val="24"/>
          <w:szCs w:val="24"/>
        </w:rPr>
        <w:t>χ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или точного критерия Фишера. </w:t>
      </w:r>
      <w:r w:rsidRPr="00C623BC">
        <w:rPr>
          <w:rFonts w:ascii="Times New Roman" w:hAnsi="Times New Roman"/>
          <w:sz w:val="24"/>
          <w:szCs w:val="24"/>
        </w:rPr>
        <w:t>Кроме того, мы использовали критерий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χ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при оценке тенденций в анализе процента пациентов в каждой из четырех заранее выделенных групп отклонения сегмента ST и в каждой из трех подгрупп, классифицированных по тенденции к разрешению отклонения сегмента ST, в группах кровотока по TIMI и в группах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миокардиального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свечения контраста. Все значения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были двусторонними. Анализ времени до события был проведен с целью оценки выживаемости без серьезных нежелательных кардиологических явлений, начиная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с даты госпитализации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пациента, при помощи программы SPSS для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Windows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(версия 15.0). Выживаемость была представлена кривыми Каплана-Мейера.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>Исследование было зарегистрировано под номером ISRCTN06195297.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color w:val="000000"/>
          <w:sz w:val="24"/>
          <w:szCs w:val="24"/>
        </w:rPr>
        <w:t>Роль источника финансирования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Исследование было организовано по инициативе исследователя. Спонсоры исследования не играли роли в планировании дизайна исследования, сборе, анализе, интерпретации данных и написании отчета об исследовании. Автор, отвечающий за корреспонденцию, обладал полным правом доступа ко всем данным, собранным в ходе исследования, и нес </w:t>
      </w:r>
      <w:r w:rsidRPr="00C623BC">
        <w:rPr>
          <w:rFonts w:ascii="Times New Roman" w:hAnsi="Times New Roman"/>
          <w:color w:val="000000"/>
          <w:sz w:val="24"/>
          <w:szCs w:val="24"/>
        </w:rPr>
        <w:lastRenderedPageBreak/>
        <w:t>конечную ответственность за решение о представлении исследования к публикации.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outlineLvl w:val="1"/>
        <w:rPr>
          <w:rFonts w:ascii="Times New Roman" w:hAnsi="Times New Roman"/>
          <w:color w:val="000000"/>
          <w:sz w:val="32"/>
          <w:szCs w:val="32"/>
        </w:rPr>
      </w:pPr>
      <w:r w:rsidRPr="00C623BC">
        <w:rPr>
          <w:rFonts w:ascii="Times New Roman" w:hAnsi="Times New Roman"/>
          <w:b/>
          <w:color w:val="000000"/>
          <w:sz w:val="32"/>
          <w:szCs w:val="32"/>
        </w:rPr>
        <w:t>Результаты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На рисунке 1 показаны характеристики исследования. В группу лечения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был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рандомизирован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491 пациент, в группу плацебо - 493 пациента. Исходные клинические и ангиографические характеристики пациентов в группах исследования в основном были сходными (таблица 1). В исследование вошло 936 пациентов (95%), которые были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рандомизированы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после установления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догоспитального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диагноза инфаркта миокарда на этапе оказания скорой помощи; медиана времени от возникновения симптомов до рандомизации составила 75 минут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межквартильный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размах 44-147 минут). Медиана времени от возникновения симптомов до установления диагноза у 48 пациентов (5%), которые были направлены из медицинских учреждений, не осуществлявших ЧКВ, составила 120 минут (МКР 69-210). Медиана расстояния транспортировки до ближайшего центра ЧКВ составила 25 километров (от 1 до 113), а медиана времени от начала ранней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противотромботической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терапии (гепарин/аспирин/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клопидогрель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) и введения исследуемого препарата до ангиографии составила 55 минут (МКР 43-70 минут). У 60 пациентов (6%) был установлен ложноположительный диагноз инфаркта миокарда; они были равномерно распределены между группами лечения.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i/>
          <w:color w:val="000000"/>
          <w:sz w:val="24"/>
          <w:szCs w:val="24"/>
        </w:rPr>
        <w:t>Таблица 1.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Исходные и демографические характеристики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2681"/>
        <w:gridCol w:w="2513"/>
      </w:tblGrid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Плацебо (n</w:t>
            </w:r>
            <w:r w:rsidR="00D502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=</w:t>
            </w:r>
            <w:r w:rsidR="00D502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493)</w:t>
            </w:r>
          </w:p>
        </w:tc>
        <w:tc>
          <w:tcPr>
            <w:tcW w:w="134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Плацебо (n</w:t>
            </w:r>
            <w:r w:rsidR="00D502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=</w:t>
            </w:r>
            <w:r w:rsidR="00D502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491)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center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Возраст (лет)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62,0 (12,0)</w:t>
            </w:r>
          </w:p>
        </w:tc>
        <w:tc>
          <w:tcPr>
            <w:tcW w:w="134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61,6 (11,8)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370/493 (75,1%)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376/491 (76,6%)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ИМТ (кг/м</w:t>
            </w:r>
            <w:proofErr w:type="gramStart"/>
            <w:r w:rsidRPr="00C623B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26,7 (3,9)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26,8 (3,5)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Активный статус курильщика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240/488 (49,2%)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219/488 (44,9%)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Передняя локализация инфаркта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185/441 (42,0%)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182/426 (42,7%)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Сахарный диабет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54/493 (11,0%)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59/490 (12,0%)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Гипертензия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170/493 (34,5%)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166/491 (33,8%)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Гиперхолестеринемия</w:t>
            </w:r>
            <w:proofErr w:type="spellEnd"/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124/492 (25,2%)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140/490 (28,6%)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Семейный анамнез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192/487 (39,4%)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184/483 (38,1%)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Ранее </w:t>
            </w:r>
            <w:proofErr w:type="gram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перенесенный</w:t>
            </w:r>
            <w:proofErr w:type="gram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37/492 (7,5%)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46/489 (9,4%)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Ранее перенесенное ЧКВ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37/493 (7,5%)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50/491 (10,2%)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Ранее перенесенное АКШ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9/493 (1,8%)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8/491 (1,6%)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Ранее перенесенное НМК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11/493 (2,2%)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6/490 (1,2%)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в исследование на этапе скорой помощи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472/493 (95,7%)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464/491 (94,5%)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Киллипа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&gt;1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65/485 (13,4%)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54/480 (11,3%)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Систолическое</w:t>
            </w:r>
            <w:proofErr w:type="gram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 (мм рт. ст.)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131,5 (25,0)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131,3 (23,7)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Диастолическое АД (</w:t>
            </w:r>
            <w:proofErr w:type="gram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proofErr w:type="gram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 рт. ст.)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77,0 (15,1)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77,0 (14,7)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Частота сердечных сокращений (уд/мин)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75,3 (18,6)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74,9 (16,4)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Кумулятивное отклонение ST на </w:t>
            </w:r>
            <w:proofErr w:type="gram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диагностической</w:t>
            </w:r>
            <w:proofErr w:type="gram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ЭКГ (мм)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14,3 (9,1)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14,5 (9,1)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Ложноположительный диагноз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29/493 (5,9%)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31/491 (6,3%)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Длительность ишемии (мин)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167 (128-263)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165 (125-237)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Время от ВС до установления диагноза (мин)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79 (45-156)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72 (44-141)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ангиографии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488/493 (99,0%)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482/491 (98,2%)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</w:tcPr>
          <w:p w:rsidR="00CF5A8A" w:rsidRPr="00C623BC" w:rsidRDefault="00CF5A8A" w:rsidP="005674BE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Трехсосудистое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поражение</w:t>
            </w:r>
          </w:p>
        </w:tc>
        <w:tc>
          <w:tcPr>
            <w:tcW w:w="143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85/488 (17,4%)</w:t>
            </w:r>
          </w:p>
        </w:tc>
        <w:tc>
          <w:tcPr>
            <w:tcW w:w="134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84/482 (17,4%)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</w:tcPr>
          <w:p w:rsidR="00CF5A8A" w:rsidRPr="00C623BC" w:rsidRDefault="00CF5A8A" w:rsidP="005674BE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ССИ</w:t>
            </w:r>
          </w:p>
        </w:tc>
        <w:tc>
          <w:tcPr>
            <w:tcW w:w="143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</w:tcPr>
          <w:p w:rsidR="00CF5A8A" w:rsidRPr="00C623BC" w:rsidRDefault="00CF5A8A" w:rsidP="005674BE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ПНА</w:t>
            </w:r>
          </w:p>
        </w:tc>
        <w:tc>
          <w:tcPr>
            <w:tcW w:w="143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185/457 (40,5%)</w:t>
            </w:r>
          </w:p>
        </w:tc>
        <w:tc>
          <w:tcPr>
            <w:tcW w:w="134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193/450 (42,9%)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</w:tcPr>
          <w:p w:rsidR="00CF5A8A" w:rsidRPr="00C623BC" w:rsidRDefault="00CF5A8A" w:rsidP="005674BE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ОА</w:t>
            </w:r>
          </w:p>
        </w:tc>
        <w:tc>
          <w:tcPr>
            <w:tcW w:w="143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53/457 (11,6%)</w:t>
            </w:r>
          </w:p>
        </w:tc>
        <w:tc>
          <w:tcPr>
            <w:tcW w:w="134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51/450 (11,3%)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  <w:vAlign w:val="bottom"/>
          </w:tcPr>
          <w:p w:rsidR="00CF5A8A" w:rsidRPr="00C623BC" w:rsidRDefault="00CF5A8A" w:rsidP="005674BE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ПКА</w:t>
            </w:r>
          </w:p>
        </w:tc>
        <w:tc>
          <w:tcPr>
            <w:tcW w:w="143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213/457 (46,6%)</w:t>
            </w:r>
          </w:p>
        </w:tc>
        <w:tc>
          <w:tcPr>
            <w:tcW w:w="134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202/450 (44,9%)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</w:tcPr>
          <w:p w:rsidR="00CF5A8A" w:rsidRPr="00C623BC" w:rsidRDefault="00CF5A8A" w:rsidP="005674BE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Трансплантат</w:t>
            </w:r>
          </w:p>
        </w:tc>
        <w:tc>
          <w:tcPr>
            <w:tcW w:w="143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4/457 (0,9%)</w:t>
            </w:r>
          </w:p>
        </w:tc>
        <w:tc>
          <w:tcPr>
            <w:tcW w:w="134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3/450 (0,7%)</w:t>
            </w:r>
          </w:p>
        </w:tc>
      </w:tr>
      <w:tr w:rsidR="00CF5A8A" w:rsidRPr="00C623BC">
        <w:trPr>
          <w:trHeight w:val="240"/>
        </w:trPr>
        <w:tc>
          <w:tcPr>
            <w:tcW w:w="2230" w:type="pct"/>
            <w:shd w:val="clear" w:color="auto" w:fill="FFFFFF"/>
          </w:tcPr>
          <w:p w:rsidR="00CF5A8A" w:rsidRPr="00C623BC" w:rsidRDefault="00CF5A8A" w:rsidP="005674BE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Левая главная</w:t>
            </w:r>
          </w:p>
        </w:tc>
        <w:tc>
          <w:tcPr>
            <w:tcW w:w="143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2/457 (0,4%)</w:t>
            </w:r>
          </w:p>
        </w:tc>
        <w:tc>
          <w:tcPr>
            <w:tcW w:w="134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1/450 (0,2%)</w:t>
            </w:r>
          </w:p>
        </w:tc>
      </w:tr>
    </w:tbl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>Данные представляют собой n/N (%), средние значения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ст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>ткл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.) или медианы (МКР). ИМТ = индекс массы тела. ИМ = инфаркт миокарда. ЧКВ =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чрескожное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коронарное вмешательство. АКШ = аортокоронарное шунтирование. НМК = нарушение мозгового кровообращения. АД = артериальное давление. ВС = возникновение симптомов. ССИ = сосуд, связанный с инфарктом. ПНА = левая передняя нисходящая артерия. ОА = огибающая артерия. ПКА = правая коронарная артерия.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При поступлении в центр ЧКВ перед ангиографией регистрировалась вторая ЭКГ; медиана времени от начала введения исследуемого препарата до регистрации ЭКГ составляла 31 минуту (МКР 19-44). </w:t>
      </w:r>
      <w:r w:rsidRPr="00C623BC">
        <w:rPr>
          <w:rFonts w:ascii="Times New Roman" w:hAnsi="Times New Roman"/>
          <w:sz w:val="24"/>
          <w:szCs w:val="24"/>
        </w:rPr>
        <w:t xml:space="preserve">Общее суммарное остаточное отклонение сегмента ST у пациентов, предварительно получавших </w:t>
      </w:r>
      <w:proofErr w:type="spellStart"/>
      <w:r w:rsidRPr="00C623BC">
        <w:rPr>
          <w:rFonts w:ascii="Times New Roman" w:hAnsi="Times New Roman"/>
          <w:sz w:val="24"/>
          <w:szCs w:val="24"/>
        </w:rPr>
        <w:t>тирофибан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, было значительно меньше, чем у пациентов в группе плацебо </w:t>
      </w:r>
      <w:r w:rsidRPr="00C623BC">
        <w:rPr>
          <w:rFonts w:ascii="Times New Roman" w:hAnsi="Times New Roman"/>
          <w:color w:val="000000"/>
          <w:sz w:val="24"/>
          <w:szCs w:val="24"/>
        </w:rPr>
        <w:t>(10,9 мм [ст. 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откл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 9,2] </w:t>
      </w:r>
      <w:r w:rsidRPr="00C623BC">
        <w:rPr>
          <w:rFonts w:ascii="Times New Roman" w:hAnsi="Times New Roman"/>
          <w:i/>
          <w:color w:val="000000"/>
          <w:sz w:val="24"/>
          <w:szCs w:val="24"/>
        </w:rPr>
        <w:t>в сравнении с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12,1 мм [9,4]; p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0,028). Кроме того, степень нормализации сегмента ST перед ангиографией у пациентов, получавших раннюю терапию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была значительно выше (таблица 2). Острая ангиография проводилась у 970 пациентов из 984 (99%). Четверо пациентов (все -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) умерли до ангиографии; у десяти пациентов ангиография не была проведена в связи с четким ложноположительным диагнозом, что выяснилось при поступлении в клинику (пять - в группе плацебо, пять -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). В таблице 3 представлены ангиографические исходы. При первичной ангиографии у 185 из 443 пациентов (42%)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у 227 из 456 (50%) пациентов в группе плацебо была обнаружена полная окклюзия инфаркт-связанного сосуда (кровоток 0 по классификации TIMI) (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0,013). Однако частота кровотока TIMI 3 в артерии, связанной с инфарктом, в двух группах существенно не отличалась (таблица 3).</w:t>
      </w:r>
    </w:p>
    <w:p w:rsidR="00CF5A8A" w:rsidRDefault="00CF5A8A" w:rsidP="008B6955">
      <w:pPr>
        <w:widowControl w:val="0"/>
        <w:rPr>
          <w:rFonts w:ascii="Times New Roman" w:hAnsi="Times New Roman"/>
          <w:sz w:val="24"/>
          <w:szCs w:val="24"/>
        </w:rPr>
        <w:sectPr w:rsidR="00CF5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Таблица 2.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Параметры ЭКГ при поступлении в центр ЧКВ и после ангиографии или ЧКВ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1843"/>
        <w:gridCol w:w="1836"/>
        <w:gridCol w:w="866"/>
      </w:tblGrid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Плацебо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Тирофибан</w:t>
            </w:r>
            <w:proofErr w:type="spellEnd"/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Значение p</w:t>
            </w: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Кумулятивное отклонение ST перед ангиографией (в центре ЧКВ [мм])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12,1 (9,4) (n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409)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10,9 (9,2) (n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380)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0,028</w:t>
            </w: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ST перед ангиографией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0,041</w:t>
            </w: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Полное восстановление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61/396 (15,4%)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76/367 (20,7%)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Частичное восстановление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74/396 (18,7%)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72/367 (19,6%)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восстановления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261/396 (65,9%)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219/367 (597%)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Кумулятивное отклонение ST через 1 час после ангиографии/ЧКВ (мм)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4,8 (6,3) (n=455)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3,6 (4,6) (n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451)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Остаточное отклонение ST &gt;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 мм через 1 час после ангиографии/ЧКВ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205/455 (45,1%)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172/451 (38,1%)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Остаточное отклонение ST через 1 час после ангиографии/ЧКВ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Нормализация сегмента ST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132/455 (29,0%)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160/451 (35,5%)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1-3 мм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118/455 (25,9%)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119/451 (26,4%)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4-6 мм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92/455 (20,2%)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85/451 (18,8%)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&gt;</w:t>
            </w:r>
            <w:r w:rsidR="00D50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 мм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113/455 (24,8%)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87/451 (19,3%)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Степень восстановления сегмента ST через 1 час после ангиографии/ЧКВ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Полное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264/440 (60,0%)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286/436 (65,6%)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Частичное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104/440 (23,6%)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100/436 (22,9%)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D502CE">
        <w:trPr>
          <w:trHeight w:val="240"/>
        </w:trPr>
        <w:tc>
          <w:tcPr>
            <w:tcW w:w="2576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8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72/440 (16,4%)</w:t>
            </w:r>
          </w:p>
        </w:tc>
        <w:tc>
          <w:tcPr>
            <w:tcW w:w="979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50/436 (11,5%)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</w:tbl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pStyle w:val="a2"/>
        <w:shd w:val="clear" w:color="auto" w:fill="auto"/>
        <w:spacing w:before="120" w:line="240" w:lineRule="auto"/>
        <w:jc w:val="both"/>
        <w:rPr>
          <w:rFonts w:ascii="Times New Roman" w:hAnsi="Times New Roman"/>
          <w:sz w:val="20"/>
          <w:szCs w:val="20"/>
        </w:rPr>
      </w:pPr>
      <w:r w:rsidRPr="00C623BC">
        <w:rPr>
          <w:rFonts w:ascii="Times New Roman" w:hAnsi="Times New Roman"/>
          <w:sz w:val="20"/>
          <w:szCs w:val="20"/>
        </w:rPr>
        <w:t>Данные приведены в виде средних значений (ст. </w:t>
      </w:r>
      <w:proofErr w:type="spellStart"/>
      <w:r w:rsidRPr="00C623BC">
        <w:rPr>
          <w:rFonts w:ascii="Times New Roman" w:hAnsi="Times New Roman"/>
          <w:sz w:val="20"/>
          <w:szCs w:val="20"/>
        </w:rPr>
        <w:t>откл</w:t>
      </w:r>
      <w:proofErr w:type="spellEnd"/>
      <w:r w:rsidRPr="00C623BC">
        <w:rPr>
          <w:rFonts w:ascii="Times New Roman" w:hAnsi="Times New Roman"/>
          <w:sz w:val="20"/>
          <w:szCs w:val="20"/>
        </w:rPr>
        <w:t xml:space="preserve">.) или отношений n/N (%). ЧКВ = </w:t>
      </w:r>
      <w:proofErr w:type="spellStart"/>
      <w:r w:rsidRPr="00C623BC">
        <w:rPr>
          <w:rFonts w:ascii="Times New Roman" w:hAnsi="Times New Roman"/>
          <w:sz w:val="20"/>
          <w:szCs w:val="20"/>
        </w:rPr>
        <w:t>чрескожное</w:t>
      </w:r>
      <w:proofErr w:type="spellEnd"/>
      <w:r w:rsidRPr="00C623BC">
        <w:rPr>
          <w:rFonts w:ascii="Times New Roman" w:hAnsi="Times New Roman"/>
          <w:sz w:val="20"/>
          <w:szCs w:val="20"/>
        </w:rPr>
        <w:t xml:space="preserve"> коронарное вмешательство.</w:t>
      </w:r>
    </w:p>
    <w:p w:rsidR="00CF5A8A" w:rsidRDefault="00CF5A8A" w:rsidP="008B6955">
      <w:pPr>
        <w:rPr>
          <w:rFonts w:ascii="Times New Roman" w:hAnsi="Times New Roman"/>
          <w:sz w:val="24"/>
          <w:szCs w:val="24"/>
        </w:rPr>
        <w:sectPr w:rsidR="00CF5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Таблица 3.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Ангиографические исходы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3"/>
        <w:gridCol w:w="2008"/>
        <w:gridCol w:w="2068"/>
        <w:gridCol w:w="866"/>
      </w:tblGrid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Плацебо</w:t>
            </w:r>
          </w:p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(n</w:t>
            </w:r>
            <w:r w:rsidR="00D502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w:r w:rsidR="00D502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493)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Тирофибан</w:t>
            </w:r>
            <w:proofErr w:type="spellEnd"/>
          </w:p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(n</w:t>
            </w:r>
            <w:r w:rsidR="00D502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=</w:t>
            </w:r>
            <w:r w:rsidR="00D502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491)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sz w:val="20"/>
                <w:szCs w:val="20"/>
              </w:rPr>
              <w:t>Значение p</w:t>
            </w:r>
          </w:p>
          <w:p w:rsidR="00CF5A8A" w:rsidRPr="00C623BC" w:rsidRDefault="00CF5A8A" w:rsidP="001B2B58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sz w:val="20"/>
                <w:szCs w:val="20"/>
              </w:rPr>
              <w:t>Кровоток TIMI при первичной ангиографии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TIMI 0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227/456 (49,8%)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185/443 (41,8%)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TIMI 1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50/456 (11,0%)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64/443 (14,4%)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TIMI 2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125/456 (197%)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138/443 (22,1%)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TIMI 3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89/456 (19,5%)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96/443 (21,7%)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center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АВС (секунд)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180 (64)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181 (62)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0,385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доза НФГ (2500 МЕ)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353/485 (72,8%)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345/477 (72,3%)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0,874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ЧКВ проведено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439/493 (89,0%)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422/488 (86,5%)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0,219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ЧКВ непосредственно перед ангиографией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437/439 (99,5%)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418/422 (99,1%)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0,443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Имплантация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стента</w:t>
            </w:r>
            <w:proofErr w:type="spellEnd"/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392/437 (897%)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378/418 (90,4%)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0,722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лекарственным покрытием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85/392 (21,7%)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97/378 (25,7%)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0,194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Голометаллический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310/392 (79,1%)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286/378 (75,7%)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0,257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устройства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103/488 (21,1%)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84/482 (17,4%)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0,146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Ургентная аспирация тромба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75/488 (15,4%)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58/482 (12,0%)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0,131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ИАРБ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26/488 (5,3%)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19/482 (3,9%)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0,305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Временный водитель ритма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2/488 (0,4%)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6/482 (1,2%)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0,175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5/488 (1,0%)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8/482 (1,7%)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0,390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Кровоток TIMI после ЧКВ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0,618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TIMI 0/1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17/436 (3,9%)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11/419 (2,6%)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TIMI 2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15/436 (3,4%)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31/419 (7,4%)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TIMI 3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404/436 (92,7%)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377/419 (90,0%)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Дистальная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эмболизация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ЧКВ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28/360 (7,8%)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15/333 (4,5%)</w:t>
            </w:r>
          </w:p>
        </w:tc>
        <w:tc>
          <w:tcPr>
            <w:tcW w:w="462" w:type="pct"/>
            <w:shd w:val="clear" w:color="auto" w:fill="FFFFFF"/>
            <w:vAlign w:val="bottom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0,074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Кровоток TIMI 0/1 или дистальная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эмболизация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ЧКВ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45/436 (10,3%)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26/419 (6,2%)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0,029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Категория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миокардиального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свечения контраста после ЧКВ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4D602C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0,227</w:t>
            </w: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MBG 0/1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86/411 (20,9%)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101/394 (25,6%)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  <w:vAlign w:val="bottom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MBG 2</w:t>
            </w:r>
          </w:p>
        </w:tc>
        <w:tc>
          <w:tcPr>
            <w:tcW w:w="1071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143/411 (34,8%)</w:t>
            </w:r>
          </w:p>
        </w:tc>
        <w:tc>
          <w:tcPr>
            <w:tcW w:w="1103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121/394 (30,7%)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CF5A8A" w:rsidRPr="00C623BC" w:rsidTr="004D602C">
        <w:trPr>
          <w:trHeight w:val="240"/>
        </w:trPr>
        <w:tc>
          <w:tcPr>
            <w:tcW w:w="2364" w:type="pct"/>
            <w:shd w:val="clear" w:color="auto" w:fill="FFFFFF"/>
          </w:tcPr>
          <w:p w:rsidR="00CF5A8A" w:rsidRPr="00C623BC" w:rsidRDefault="00CF5A8A" w:rsidP="001B2B58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MBG 3</w:t>
            </w:r>
          </w:p>
        </w:tc>
        <w:tc>
          <w:tcPr>
            <w:tcW w:w="1071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182/411 (44,3%)</w:t>
            </w:r>
          </w:p>
        </w:tc>
        <w:tc>
          <w:tcPr>
            <w:tcW w:w="1103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172/394 (43,7%)</w:t>
            </w:r>
          </w:p>
        </w:tc>
        <w:tc>
          <w:tcPr>
            <w:tcW w:w="462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</w:tbl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rPr>
          <w:rFonts w:ascii="Times New Roman" w:hAnsi="Times New Roman"/>
          <w:sz w:val="20"/>
          <w:szCs w:val="20"/>
        </w:rPr>
      </w:pPr>
      <w:r w:rsidRPr="00C623BC">
        <w:rPr>
          <w:rFonts w:ascii="Times New Roman" w:hAnsi="Times New Roman"/>
          <w:color w:val="000000"/>
          <w:sz w:val="20"/>
          <w:szCs w:val="20"/>
        </w:rPr>
        <w:t>Данные представляют собой соотношение n/N (%) или среднее значение (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ст.откл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>.) TIMI = исследование «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Тромболизис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при инфаркте миокарда». АВС = активированное время свертывания.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C623BC">
        <w:rPr>
          <w:rFonts w:ascii="Times New Roman" w:hAnsi="Times New Roman"/>
          <w:color w:val="000000"/>
          <w:sz w:val="20"/>
          <w:szCs w:val="20"/>
        </w:rPr>
        <w:t xml:space="preserve">НФГ = 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нефракционированный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гепарин. ЧКВ = 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чрескожное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коронарное вмешательство. ИАРБ = 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интрааортальное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раздувание баллона. MBG = категория 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миокардиального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свечения.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ЧКВ проводилось практически у всех пациентов (таблица 3). Спасительное введение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слепом режиме было выполнено у 97 (20%) из 488 пациентов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у 140 (29%) из 492 в группе плацебо (р=0,002). Дистальная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эмболизация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группе пациентов, получавших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наблюдалась реже, чем в группе плацебо (таблица 3). Дистальная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эмболизация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или отсутствие восстановления дистального кровотока, определявшиеся как TIMI 0 или 1 после ЧКВ, после предварительной терапии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наблюдались реже (таблица 3). Различий между группами по частоте регистрации кровотока TIMI 3 после ЧКВ не было. Доступная для интерпретации ЭКГ через 30-90 минут после ангиографии или ЧКВ имелась у 906 (92%) пациентов (455 [92%] в группе плацебо и 451 [92%]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).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Доля пациентов, у которых остаточное отклонение ST превышало 3 мм, в группе лечения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была ниже, чем в группе плацебо (таблица 2). Дальнейший анализ показал, </w:t>
      </w:r>
      <w:r w:rsidRPr="00C623BC">
        <w:rPr>
          <w:rFonts w:ascii="Times New Roman" w:hAnsi="Times New Roman"/>
          <w:color w:val="000000"/>
          <w:sz w:val="24"/>
          <w:szCs w:val="24"/>
        </w:rPr>
        <w:lastRenderedPageBreak/>
        <w:t xml:space="preserve">что у пациентов, получавших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остаточное отклонение ST было меньше во всех предварительно выделенных подгруппах, в сравнении с пациентами, получавшими плацебо (таблица 2; рисунок 2). Кроме того, возвращение к норме сегмента ST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происходило значительно быстрее, чем в группе плацебо (таблица 2, рисунок 2). На рисунке 3 показаны соотношения риска возникновения первичного оценочного критерия в каждой из предварительно выделенных подгрупп пациентов.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Наблюдение в течение 30 дней проводилось практически у всех пациентов (рисунок 1). Двадцать семь (27) пациентов отказались подписывать информированное согласие после того, как дали согласие в устной форме на этапе оказания скорой помощи; семеро были потеряны для наблюдения (рисунок 1). В таблице 4 показаны все клинические исходы и параметры безопасности. Комбинированный показатель, включающий смерть, рецидив инфаркта миокарда, ургентную РЦС или «спасительное» применение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слепом режиме,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составил 26,0%, в сравнении с 32,9% в группе плацебо (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0,020), при этом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неотложная терапия исследуемым препаратом потребовалась гораздо меньшему числу пациентов (таблица 4). </w:t>
      </w:r>
      <w:r w:rsidRPr="00C623BC">
        <w:rPr>
          <w:rFonts w:ascii="Times New Roman" w:hAnsi="Times New Roman"/>
          <w:sz w:val="24"/>
          <w:szCs w:val="24"/>
        </w:rPr>
        <w:t xml:space="preserve">Степень остаточного отклонения сегмента ST через 1 час после ЧКВ </w:t>
      </w:r>
      <w:r w:rsidRPr="00C623BC">
        <w:rPr>
          <w:rFonts w:ascii="Times New Roman" w:hAnsi="Times New Roman"/>
          <w:color w:val="000000"/>
          <w:sz w:val="24"/>
          <w:szCs w:val="24"/>
        </w:rPr>
        <w:t>(5,5 мм [ст. 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откл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 7,2] в группе с неотложным применением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сравнении с</w:t>
      </w:r>
      <w:r w:rsidRPr="00C623B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3,7 мм [4,8] при отсутствии неотложной терапии; p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0,005) и частота серьезных нежелательных кардиологических явлений (12,2% [29/237] в сравнении с</w:t>
      </w:r>
      <w:r w:rsidRPr="00C623B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5,6% [40/709]; 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p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0,001) были в значительной мере связаны с необходимостью «спасительного» применения исследуемого препарата.</w:t>
      </w:r>
      <w:proofErr w:type="gram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На рисунке 4 показаны кривые Каплана-Мейера, характеризующие выживаемость без ключевых дополнительных оценочных критериев. Общая летальность у пациентов, получавших раннюю терапию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была ниже, чем в группе плацебо или у пациентов, не получавших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C623BC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=</w:t>
      </w:r>
      <w:r w:rsidR="00D502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>0,144; таблица 4). Частота тяжелых кровотечений в двух группах существенно не различалась (таблица 4).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Default="00CF5A8A" w:rsidP="008B6955">
      <w:pPr>
        <w:rPr>
          <w:rFonts w:ascii="Times New Roman" w:hAnsi="Times New Roman"/>
          <w:sz w:val="24"/>
          <w:szCs w:val="24"/>
        </w:rPr>
        <w:sectPr w:rsidR="00CF5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Рисунок 2.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Показатели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реперфузии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миокарда по данным электрокардиографии в двух группах лечения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987A98" w:rsidP="008B6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212.25pt;height:401.95pt;visibility:visible">
            <v:imagedata r:id="rId14" o:title=""/>
          </v:shape>
        </w:pic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Number of patients (%)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Количество пациентов (%)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Tirofiban</w:t>
            </w:r>
            <w:proofErr w:type="spellEnd"/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</w:rPr>
              <w:t>Тирофибан</w:t>
            </w:r>
            <w:proofErr w:type="spellEnd"/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Placebo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Плацебо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Normalised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Нормализация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1-3 mm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1-3 мм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4-6 mm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4-6 мм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6 mm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&gt;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</w:rPr>
              <w:t>6 мм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906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N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</w:rPr>
              <w:t>=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Number of patients (%)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Количество пациентов (%)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Tirofiban</w:t>
            </w:r>
            <w:proofErr w:type="spellEnd"/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</w:rPr>
              <w:t>Тирофибан</w:t>
            </w:r>
            <w:proofErr w:type="spellEnd"/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Placebo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Плацебо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Complete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Partial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Частичное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5A8A" w:rsidRPr="00C623BC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N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876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N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</w:rPr>
              <w:t>=</w:t>
            </w:r>
            <w:r w:rsidR="00D5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3BC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</w:tr>
    </w:tbl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Доли пациентов показаны в соответствии со степенью остаточного отклонения сегмента ST (A) или восстановления сегмента ST (B) на электрокардиограмме, зарегистрированной в период от 30 минут до 90 минут после ангиографии или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чрескожного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коронарного вмешательства (ЧКВ).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outlineLvl w:val="1"/>
        <w:rPr>
          <w:rFonts w:ascii="Times New Roman" w:hAnsi="Times New Roman"/>
          <w:color w:val="000000"/>
          <w:sz w:val="32"/>
          <w:szCs w:val="32"/>
        </w:rPr>
      </w:pPr>
      <w:r w:rsidRPr="00C623BC">
        <w:rPr>
          <w:rFonts w:ascii="Times New Roman" w:hAnsi="Times New Roman"/>
          <w:b/>
          <w:color w:val="000000"/>
          <w:sz w:val="32"/>
          <w:szCs w:val="32"/>
        </w:rPr>
        <w:t>Обсуждение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036D3">
        <w:rPr>
          <w:rFonts w:ascii="Times New Roman" w:hAnsi="Times New Roman"/>
          <w:color w:val="000000"/>
          <w:sz w:val="24"/>
          <w:szCs w:val="24"/>
        </w:rPr>
        <w:t>этом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исследовании показано, что у пациентов с STEMI рутинное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догоспитальное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начало лечения блокатором гликопротеина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дополнение к аспирину, гепарину и высоким дозам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клопидогреля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способствует улучшению восстановления сегмента ST до и после ЧКВ. Эти результаты сопровождаются улучшением исхода без увеличения риска нежелательных ангиографических или клинических событий в течение 30-дневного периода наблюдения и без существенного увеличения частоты серьезных кровотечений.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Рутинное применение блокаторов гликопротеина </w:t>
      </w:r>
      <w:proofErr w:type="spellStart"/>
      <w:r w:rsidRPr="00C623BC">
        <w:rPr>
          <w:rFonts w:ascii="Times New Roman" w:hAnsi="Times New Roman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у пациентов с STEMI является показанием класса </w:t>
      </w:r>
      <w:proofErr w:type="spellStart"/>
      <w:r w:rsidRPr="00C623BC">
        <w:rPr>
          <w:rFonts w:ascii="Times New Roman" w:hAnsi="Times New Roman"/>
          <w:sz w:val="24"/>
          <w:szCs w:val="24"/>
        </w:rPr>
        <w:t>IIa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, в соответствии с руководством от 2003-04 </w:t>
      </w:r>
      <w:proofErr w:type="spellStart"/>
      <w:r w:rsidRPr="00C623BC">
        <w:rPr>
          <w:rFonts w:ascii="Times New Roman" w:hAnsi="Times New Roman"/>
          <w:sz w:val="24"/>
          <w:szCs w:val="24"/>
        </w:rPr>
        <w:t>г.г</w:t>
      </w:r>
      <w:proofErr w:type="spellEnd"/>
      <w:r w:rsidRPr="00C623BC">
        <w:rPr>
          <w:rFonts w:ascii="Times New Roman" w:hAnsi="Times New Roman"/>
          <w:sz w:val="24"/>
          <w:szCs w:val="24"/>
        </w:rPr>
        <w:t>. Американского и Европейского кардиологических обществ.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17,18</w:t>
      </w:r>
      <w:r w:rsidRPr="00C623BC">
        <w:rPr>
          <w:rFonts w:ascii="Times New Roman" w:hAnsi="Times New Roman"/>
          <w:sz w:val="24"/>
          <w:szCs w:val="24"/>
        </w:rPr>
        <w:t xml:space="preserve"> Однако в крупных исследованиях показано, что в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обычной практике блокаторы гликопротеина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получают всего 25-30% пациентов с STEMI, часто в ситуациях, требующих проведения «терапии спасения».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19,20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В связи с этим группа плацебо в нашем исследовании (в которой высокие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болюсные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дозы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вводились при возникновении экстренных показаний у 29% пациентов) является хорошим отражением повсеместной практики и не является «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недолеченной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». В настоящем исследовании показано, что дополнительная оптимизация ингибирования агрегации тромбоцитов при помощи раннего использования блокаторы гликопротеина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перед ЧКВ играет благоприятную роль. Применение блокаторов гликопротеина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не должно ограничиваться пациентами, у которых развиваются осложнения ЧКВ, даже при условии, что в рамках подготовки к ЧКВ используются высокие дозы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клопидогреля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623BC">
        <w:rPr>
          <w:rFonts w:ascii="Times New Roman" w:hAnsi="Times New Roman"/>
          <w:sz w:val="24"/>
          <w:szCs w:val="24"/>
        </w:rPr>
        <w:t xml:space="preserve">В предыдущих исследованиях показано, что максимальный </w:t>
      </w:r>
      <w:proofErr w:type="spellStart"/>
      <w:r w:rsidRPr="00C623BC">
        <w:rPr>
          <w:rFonts w:ascii="Times New Roman" w:hAnsi="Times New Roman"/>
          <w:sz w:val="24"/>
          <w:szCs w:val="24"/>
        </w:rPr>
        <w:t>антитромбоцитарный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эффект </w:t>
      </w:r>
      <w:proofErr w:type="spellStart"/>
      <w:r w:rsidRPr="00C623BC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в дозе 600 мг достигается лишь через 2-4 часа, при этом он значительно менее эффективен у пациентов с STEMI, нежели у пациентов со стабильной ишемической болезнью сердца</w:t>
      </w:r>
      <w:r w:rsidRPr="00C623BC">
        <w:rPr>
          <w:rFonts w:ascii="Times New Roman" w:hAnsi="Times New Roman"/>
          <w:color w:val="000000"/>
          <w:sz w:val="24"/>
          <w:szCs w:val="24"/>
        </w:rPr>
        <w:t>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21,22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В нашем исследовании мы использовали высокую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болюсную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дозу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(25 мкг/кг). </w:t>
      </w:r>
      <w:r w:rsidRPr="00C623BC">
        <w:rPr>
          <w:rFonts w:ascii="Times New Roman" w:hAnsi="Times New Roman"/>
          <w:sz w:val="24"/>
          <w:szCs w:val="24"/>
        </w:rPr>
        <w:t xml:space="preserve">В предыдущих исследованиях было показано, что </w:t>
      </w:r>
      <w:proofErr w:type="spellStart"/>
      <w:r w:rsidRPr="00C623BC">
        <w:rPr>
          <w:rFonts w:ascii="Times New Roman" w:hAnsi="Times New Roman"/>
          <w:sz w:val="24"/>
          <w:szCs w:val="24"/>
        </w:rPr>
        <w:t>болюсная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доза 10 мкг/кг не позволяет достичь достаточного раннего ингибирования агрегации тромбоцитов.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23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В недавно проведенных исследованиях отмечено, что высокая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болюсная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доза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обеспечивает оптимальную агрегацию тромбоцитов у значительного процента пациентов в самом раннем периоде после ЧКВ.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24,25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В аспиратах, полученных при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тромбоаспирации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перед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ангиопластикой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у пациентов с острым STEMI, в большинстве случаев содержались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тромбоцитарные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тромбы, что подчеркивает важность раннего начала эффективного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антитромбоцитарного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лечения у таких пациентов.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26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Эффективность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продемонстрированная в </w:t>
      </w:r>
      <w:r w:rsidR="001036D3">
        <w:rPr>
          <w:rFonts w:ascii="Times New Roman" w:hAnsi="Times New Roman"/>
          <w:color w:val="000000"/>
          <w:sz w:val="24"/>
          <w:szCs w:val="24"/>
        </w:rPr>
        <w:t>этом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исследовании, во многом может быть связана с коротким промежутком времени между возникновением симптомов острого инфаркта миокарда и введением исследуемого препарата. </w:t>
      </w:r>
      <w:r w:rsidRPr="00C623BC">
        <w:rPr>
          <w:rFonts w:ascii="Times New Roman" w:hAnsi="Times New Roman"/>
          <w:sz w:val="24"/>
          <w:szCs w:val="24"/>
        </w:rPr>
        <w:t xml:space="preserve">Медиана времени от возникновения симптомов до начала введения исследуемого препарата составляла всего 76 минут. В исследовании «Облегчение вмешательств по ускорению </w:t>
      </w:r>
      <w:proofErr w:type="spellStart"/>
      <w:r w:rsidRPr="00C623BC">
        <w:rPr>
          <w:rFonts w:ascii="Times New Roman" w:hAnsi="Times New Roman"/>
          <w:sz w:val="24"/>
          <w:szCs w:val="24"/>
        </w:rPr>
        <w:t>реперфузии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для прекращения ишемических эпизодов»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Facilitated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Intervention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Enhanced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Reperfusion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Speed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Stop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Events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(FINESSE))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27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исследователи не отметили преимущества раннего </w:t>
      </w:r>
      <w:r w:rsidRPr="00C623B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применения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абциксимаба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сравнении с поздним его назначением. </w:t>
      </w:r>
      <w:r w:rsidRPr="00C623BC">
        <w:rPr>
          <w:rFonts w:ascii="Times New Roman" w:hAnsi="Times New Roman"/>
          <w:sz w:val="24"/>
          <w:szCs w:val="24"/>
        </w:rPr>
        <w:t xml:space="preserve">В исследовании «Баварская оценка альтернатив </w:t>
      </w:r>
      <w:proofErr w:type="spellStart"/>
      <w:r w:rsidRPr="00C623BC">
        <w:rPr>
          <w:rFonts w:ascii="Times New Roman" w:hAnsi="Times New Roman"/>
          <w:sz w:val="24"/>
          <w:szCs w:val="24"/>
        </w:rPr>
        <w:t>реперфузии</w:t>
      </w:r>
      <w:proofErr w:type="spellEnd"/>
      <w:r w:rsidRPr="00C623BC">
        <w:rPr>
          <w:rFonts w:ascii="Times New Roman" w:hAnsi="Times New Roman"/>
          <w:sz w:val="24"/>
          <w:szCs w:val="24"/>
        </w:rPr>
        <w:t>» (</w:t>
      </w:r>
      <w:proofErr w:type="spellStart"/>
      <w:r w:rsidRPr="00C623BC">
        <w:rPr>
          <w:rFonts w:ascii="Times New Roman" w:hAnsi="Times New Roman"/>
          <w:sz w:val="24"/>
          <w:szCs w:val="24"/>
        </w:rPr>
        <w:t>Bavarian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Reperfusion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Alternatives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Evaluation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- BRAVE 3) было отмечено, что </w:t>
      </w:r>
      <w:proofErr w:type="spellStart"/>
      <w:r w:rsidRPr="00C623BC">
        <w:rPr>
          <w:rFonts w:ascii="Times New Roman" w:hAnsi="Times New Roman"/>
          <w:sz w:val="24"/>
          <w:szCs w:val="24"/>
        </w:rPr>
        <w:t>абциксимаб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не обеспечивает сокращения инфарктной зоны у пациентов, ранее уже получавших </w:t>
      </w:r>
      <w:proofErr w:type="spellStart"/>
      <w:r w:rsidRPr="00C623BC">
        <w:rPr>
          <w:rFonts w:ascii="Times New Roman" w:hAnsi="Times New Roman"/>
          <w:sz w:val="24"/>
          <w:szCs w:val="24"/>
        </w:rPr>
        <w:t>клопидогрель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в дозе 600 мг</w:t>
      </w:r>
      <w:r w:rsidRPr="00C623BC">
        <w:rPr>
          <w:rFonts w:ascii="Times New Roman" w:hAnsi="Times New Roman"/>
          <w:color w:val="000000"/>
          <w:sz w:val="24"/>
          <w:szCs w:val="24"/>
        </w:rPr>
        <w:t>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28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При этом, однако, в обоих исследованиях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абциксимаб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назначали достаточно поздно (&gt;200 минут) после возникновения симптомов. </w:t>
      </w:r>
      <w:r w:rsidRPr="00C623BC">
        <w:rPr>
          <w:rFonts w:ascii="Times New Roman" w:hAnsi="Times New Roman"/>
          <w:sz w:val="24"/>
          <w:szCs w:val="24"/>
        </w:rPr>
        <w:t>В исследовании «</w:t>
      </w:r>
      <w:proofErr w:type="spellStart"/>
      <w:r w:rsidRPr="00C623BC">
        <w:rPr>
          <w:rFonts w:ascii="Times New Roman" w:hAnsi="Times New Roman"/>
          <w:sz w:val="24"/>
          <w:szCs w:val="24"/>
        </w:rPr>
        <w:t>Абциксимаб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перед прямой </w:t>
      </w:r>
      <w:proofErr w:type="spellStart"/>
      <w:r w:rsidRPr="00C623BC">
        <w:rPr>
          <w:rFonts w:ascii="Times New Roman" w:hAnsi="Times New Roman"/>
          <w:sz w:val="24"/>
          <w:szCs w:val="24"/>
        </w:rPr>
        <w:t>ангиопластикой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23BC">
        <w:rPr>
          <w:rFonts w:ascii="Times New Roman" w:hAnsi="Times New Roman"/>
          <w:sz w:val="24"/>
          <w:szCs w:val="24"/>
        </w:rPr>
        <w:t>стентированием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при инфаркте миокарда при остром и долгосрочном наблюдении»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Abciximab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before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Direct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Angioplasty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stenting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Myocardial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Infarction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Regarding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Acute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Long-term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follow-up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(ADMIRAL))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29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уже показано, что положительный эффект этого препарата по большей части отмечался у пациентов, получивших блокатор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на этапе скорой помощи, задолго до поступления в центр ЧКВ.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29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При анализе в подгруппах, проведенном в нашем исследовании, также было показано, что наиболее выраженный эффект имел место у пациентов, которым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вводили вскоре после возникновения симптомов (рисунок 3).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i/>
          <w:color w:val="000000"/>
          <w:sz w:val="24"/>
          <w:szCs w:val="24"/>
        </w:rPr>
        <w:t>Рисунок 3.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Отношения риска возникновения главного оценочного критерия (степень остаточного отклонения сегмента ST через 1 час после ЧКВ) в заранее выделенных клинических или ангиографических подгруппах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987A98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style="width:440.15pt;height:4in;visibility:visible">
            <v:imagedata r:id="rId15" o:title=""/>
          </v:shape>
        </w:pic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All patients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Все пациенты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Sex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Пол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Женщины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Male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Мужчины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Age (years)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Возраст (лет)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Diabetes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Сахарный диабет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>Yes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Локализация ИМ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Anterior MI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Передний ИМ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Non-anterior MI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Не передний ИМ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Killip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&gt;1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Киллип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&gt;1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TIMI flow grade before PCI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Кровоток TIMI перед ЧКВ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Time start study drug to balloon inflation or angiography (min)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Время от начала введения исследуемого препарата до раздувания баллона или ангиографии (мин)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Time symptom onset to diagnosis (min)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Время от возникновения симптомов до установления диагноза (мин)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Tirofiban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n/N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Тирофибан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n/N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Placebo n/N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Плацебо n/N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RR (95% CI)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RR (95% ДИ)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RR (95% CI)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RR (95% ДИ)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 value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Значение p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Tirofiban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better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Тирофибан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лучше</w:t>
            </w:r>
          </w:p>
        </w:tc>
      </w:tr>
      <w:tr w:rsidR="00CF5A8A" w:rsidRPr="00C623BC">
        <w:tc>
          <w:tcPr>
            <w:tcW w:w="4672" w:type="dxa"/>
          </w:tcPr>
          <w:p w:rsidR="00CF5A8A" w:rsidRPr="00C623BC" w:rsidRDefault="00CF5A8A" w:rsidP="000A19E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Placebo better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widowControl w:val="0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color w:val="000000"/>
                <w:sz w:val="24"/>
                <w:szCs w:val="24"/>
              </w:rPr>
              <w:t>Плацебо лучше</w:t>
            </w:r>
          </w:p>
        </w:tc>
      </w:tr>
    </w:tbl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>Данные приводятся для пациентов, у которых имелись клинические электрокардиографические показатели исходного уровня. ИМ = инфаркт миокарда. TIMI = исследование «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Тромболизис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при инфаркте миокарда». ЧКВ =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чрескожное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коронарное вмешательство.</w:t>
      </w:r>
    </w:p>
    <w:p w:rsidR="00CF5A8A" w:rsidRDefault="00CF5A8A" w:rsidP="008B6955">
      <w:pPr>
        <w:rPr>
          <w:rFonts w:ascii="Times New Roman" w:hAnsi="Times New Roman"/>
          <w:sz w:val="24"/>
          <w:szCs w:val="24"/>
        </w:rPr>
        <w:sectPr w:rsidR="00CF5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A8A" w:rsidRPr="00C623BC" w:rsidRDefault="00CF5A8A" w:rsidP="008B6955">
      <w:pPr>
        <w:pStyle w:val="90"/>
        <w:shd w:val="clear" w:color="auto" w:fill="auto"/>
        <w:spacing w:before="12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C623BC">
        <w:rPr>
          <w:rStyle w:val="9Sylfaen"/>
          <w:rFonts w:ascii="Times New Roman" w:eastAsia="Calibri" w:hAnsi="Times New Roman"/>
          <w:b/>
          <w:iCs/>
          <w:sz w:val="24"/>
          <w:szCs w:val="24"/>
        </w:rPr>
        <w:lastRenderedPageBreak/>
        <w:t>Таблица 4.</w:t>
      </w:r>
      <w:r w:rsidRPr="00C623BC">
        <w:rPr>
          <w:rFonts w:ascii="Times New Roman" w:hAnsi="Times New Roman"/>
          <w:b/>
          <w:sz w:val="24"/>
          <w:szCs w:val="24"/>
        </w:rPr>
        <w:t xml:space="preserve"> Клинический исход и параметры безопасности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1838"/>
        <w:gridCol w:w="1823"/>
        <w:gridCol w:w="1026"/>
      </w:tblGrid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FFFFFF"/>
          </w:tcPr>
          <w:p w:rsidR="00CF5A8A" w:rsidRPr="00C623BC" w:rsidRDefault="00CF5A8A" w:rsidP="00B86F40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Плацебо (n</w:t>
            </w:r>
            <w:r w:rsidR="002827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=</w:t>
            </w:r>
            <w:r w:rsidR="002827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477)</w:t>
            </w:r>
          </w:p>
        </w:tc>
        <w:tc>
          <w:tcPr>
            <w:tcW w:w="972" w:type="pct"/>
            <w:shd w:val="clear" w:color="auto" w:fill="FFFFFF"/>
          </w:tcPr>
          <w:p w:rsidR="00CF5A8A" w:rsidRPr="00C623BC" w:rsidRDefault="00CF5A8A" w:rsidP="00B86F40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Плацебо (n</w:t>
            </w:r>
            <w:r w:rsidR="002827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=</w:t>
            </w:r>
            <w:r w:rsidR="0028276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473)</w:t>
            </w:r>
          </w:p>
        </w:tc>
        <w:tc>
          <w:tcPr>
            <w:tcW w:w="547" w:type="pct"/>
            <w:shd w:val="clear" w:color="auto" w:fill="FFFFFF"/>
          </w:tcPr>
          <w:p w:rsidR="00CF5A8A" w:rsidRPr="00C623BC" w:rsidRDefault="00CF5A8A" w:rsidP="00B86F40">
            <w:pPr>
              <w:widowControl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Значение p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Клинический исход</w:t>
            </w:r>
          </w:p>
        </w:tc>
        <w:tc>
          <w:tcPr>
            <w:tcW w:w="98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Смерть/рецидив ИМ/ургентная РЦС или неотложная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противотромботическая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терапия</w:t>
            </w:r>
          </w:p>
        </w:tc>
        <w:tc>
          <w:tcPr>
            <w:tcW w:w="98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157/477 (32,9%)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123/473 (26,0%)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0,020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Смерть/рецидив ИМ или ургентная РЦС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39/477 (8,2%)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33/473 (7,0%)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0,485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Летальный исход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19/477 (4,0%)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11/473 (2,3%)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Рецидив ИМ</w:t>
            </w:r>
          </w:p>
        </w:tc>
        <w:tc>
          <w:tcPr>
            <w:tcW w:w="98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14/477 (2,9%)</w:t>
            </w:r>
          </w:p>
        </w:tc>
        <w:tc>
          <w:tcPr>
            <w:tcW w:w="972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13/473 (2,7%)</w:t>
            </w:r>
          </w:p>
        </w:tc>
        <w:tc>
          <w:tcPr>
            <w:tcW w:w="547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0,863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Ургентная РЦС</w:t>
            </w:r>
          </w:p>
        </w:tc>
        <w:tc>
          <w:tcPr>
            <w:tcW w:w="98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20/477 (4,2%)</w:t>
            </w:r>
          </w:p>
        </w:tc>
        <w:tc>
          <w:tcPr>
            <w:tcW w:w="972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18/473 (3,8%)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0,761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55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Ургентное ЧКВ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19/477 (4,0%)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11/473 (2,3%)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0,144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center"/>
          </w:tcPr>
          <w:p w:rsidR="00CF5A8A" w:rsidRPr="00C623BC" w:rsidRDefault="00CF5A8A" w:rsidP="00B86F40">
            <w:pPr>
              <w:widowControl w:val="0"/>
              <w:spacing w:before="0"/>
              <w:ind w:left="55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Ургентное АКШ</w:t>
            </w:r>
          </w:p>
        </w:tc>
        <w:tc>
          <w:tcPr>
            <w:tcW w:w="98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1/477 (0,2%)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7/473 (1,5%)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0,038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center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Неотложная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противотромботическая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терапия</w:t>
            </w:r>
          </w:p>
        </w:tc>
        <w:tc>
          <w:tcPr>
            <w:tcW w:w="98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140/492 (28,5%)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97/488 (19,9%)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0,002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кровотока TIMI 0-2 или медленное восстановление дистального кровотока</w:t>
            </w:r>
          </w:p>
        </w:tc>
        <w:tc>
          <w:tcPr>
            <w:tcW w:w="980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45/492 (9,1%)</w:t>
            </w:r>
          </w:p>
        </w:tc>
        <w:tc>
          <w:tcPr>
            <w:tcW w:w="972" w:type="pct"/>
            <w:shd w:val="clear" w:color="auto" w:fill="FFFFFF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29/488 (5,9%)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0,058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center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Диссекция</w:t>
            </w:r>
            <w:proofErr w:type="spellEnd"/>
          </w:p>
        </w:tc>
        <w:tc>
          <w:tcPr>
            <w:tcW w:w="98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6/492 (1,2%)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5/488 (1,0%)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0,722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Дистальная 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эмболизация</w:t>
            </w:r>
            <w:proofErr w:type="spellEnd"/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58/492 (11,8%)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44/488 (9,0%)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0,155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center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Окклюзия боковой ветви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4/492 (0,8%)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3/488 (0,6%)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1,000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center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Острая окклюзия виновного сосуда</w:t>
            </w:r>
          </w:p>
        </w:tc>
        <w:tc>
          <w:tcPr>
            <w:tcW w:w="98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11/492 (2,2%)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1/488 (0,2%)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Клиническая нестабильность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15/492 (3,0%)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13/488 (2,7%)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0,718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center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Длительно сохраняющаяся ишемия</w:t>
            </w:r>
          </w:p>
        </w:tc>
        <w:tc>
          <w:tcPr>
            <w:tcW w:w="98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4/492 (0,8%)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4/488 (0,8%)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1,000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Серьезные кровотечения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14/477 (2,9%)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19/473 (4,0%)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0,363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Серьезные кровотечения, связанные с АКШ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7/477 (1,5%)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10/473 (2,1%)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0,452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Серьезные кровотечения, не связанные с АКШ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7/477 (1,5%)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9/473 (1,9%)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0,602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Незначительное кровотечение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21/477 (4,4%)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29/473 (6,1%)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0,233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Незначительное кровотечение, связанное с АКШ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8/477 (1,7%)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7/473 (1,5%)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0,807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ind w:left="27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Незначительное кровотечение, не связанное с АКШ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13/477 (2,7%)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22/473 (47%)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0,115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Инсульт в течение 30 дней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7/477 (1,5%)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1/473 (0,2%)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0,069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bottom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Тромбоцитопения (</w:t>
            </w:r>
            <w:proofErr w:type="spellStart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внутригоспитальная</w:t>
            </w:r>
            <w:proofErr w:type="spellEnd"/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0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9/492 (1,8%)</w:t>
            </w:r>
          </w:p>
        </w:tc>
        <w:tc>
          <w:tcPr>
            <w:tcW w:w="972" w:type="pct"/>
            <w:shd w:val="clear" w:color="auto" w:fill="FFFFFF"/>
            <w:vAlign w:val="bottom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10/489 (2,0%)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0,806</w:t>
            </w:r>
          </w:p>
        </w:tc>
      </w:tr>
      <w:tr w:rsidR="00CF5A8A" w:rsidRPr="00C623BC" w:rsidTr="0028276E">
        <w:trPr>
          <w:trHeight w:val="240"/>
        </w:trPr>
        <w:tc>
          <w:tcPr>
            <w:tcW w:w="2500" w:type="pct"/>
            <w:shd w:val="clear" w:color="auto" w:fill="FFFFFF"/>
            <w:vAlign w:val="center"/>
          </w:tcPr>
          <w:p w:rsidR="00CF5A8A" w:rsidRPr="00C623BC" w:rsidRDefault="00CF5A8A" w:rsidP="00B86F40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Чистый клинический исход*</w:t>
            </w:r>
          </w:p>
        </w:tc>
        <w:tc>
          <w:tcPr>
            <w:tcW w:w="980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56/477 (117%)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44/473 (9,3%)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CF5A8A" w:rsidRPr="00C623BC" w:rsidRDefault="00CF5A8A" w:rsidP="008B6955">
            <w:pPr>
              <w:widowControl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3BC">
              <w:rPr>
                <w:rFonts w:ascii="Times New Roman" w:hAnsi="Times New Roman"/>
                <w:color w:val="000000"/>
                <w:sz w:val="20"/>
                <w:szCs w:val="20"/>
              </w:rPr>
              <w:t>0,221</w:t>
            </w:r>
          </w:p>
        </w:tc>
      </w:tr>
    </w:tbl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C623BC">
        <w:rPr>
          <w:rFonts w:ascii="Times New Roman" w:hAnsi="Times New Roman"/>
          <w:color w:val="000000"/>
          <w:sz w:val="20"/>
          <w:szCs w:val="20"/>
        </w:rPr>
        <w:t xml:space="preserve">Данные представлены в виде соотношения n/N (%). ИМ = инфаркт миокарда. РЦС = 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реваскуляризация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целевого сосуда. ЧКВ = 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чрескожное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коронарное вмешательство. АКШ = аортокоронарное шунтирование. TIMI = «</w:t>
      </w:r>
      <w:proofErr w:type="spellStart"/>
      <w:r w:rsidRPr="00C623BC">
        <w:rPr>
          <w:rFonts w:ascii="Times New Roman" w:hAnsi="Times New Roman"/>
          <w:color w:val="000000"/>
          <w:sz w:val="20"/>
          <w:szCs w:val="20"/>
        </w:rPr>
        <w:t>Тромболизис</w:t>
      </w:r>
      <w:proofErr w:type="spellEnd"/>
      <w:r w:rsidRPr="00C623BC">
        <w:rPr>
          <w:rFonts w:ascii="Times New Roman" w:hAnsi="Times New Roman"/>
          <w:color w:val="000000"/>
          <w:sz w:val="20"/>
          <w:szCs w:val="20"/>
        </w:rPr>
        <w:t xml:space="preserve"> при инфаркте миокарда». *Комбинированный показатель, включающий смерть, рецидив инфаркта миокарда, ургентную РЦС, инсульт или серьезное кровотечение.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Default="00CF5A8A" w:rsidP="008B6955">
      <w:pPr>
        <w:rPr>
          <w:rFonts w:ascii="Times New Roman" w:hAnsi="Times New Roman"/>
          <w:sz w:val="24"/>
          <w:szCs w:val="24"/>
        </w:rPr>
        <w:sectPr w:rsidR="00CF5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i/>
          <w:color w:val="000000"/>
          <w:sz w:val="24"/>
          <w:szCs w:val="24"/>
        </w:rPr>
        <w:t>Рисунок 4.</w:t>
      </w:r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Кривые Каплана-Мейера, показывающие выживаемость без смерти, рецидива инфаркта миокарда, ургентной </w:t>
      </w:r>
      <w:proofErr w:type="spellStart"/>
      <w:r w:rsidRPr="00C623BC">
        <w:rPr>
          <w:rFonts w:ascii="Times New Roman" w:hAnsi="Times New Roman"/>
          <w:b/>
          <w:color w:val="000000"/>
          <w:sz w:val="24"/>
          <w:szCs w:val="24"/>
        </w:rPr>
        <w:t>реваскуляризации</w:t>
      </w:r>
      <w:proofErr w:type="spellEnd"/>
      <w:r w:rsidRPr="00C623BC">
        <w:rPr>
          <w:rFonts w:ascii="Times New Roman" w:hAnsi="Times New Roman"/>
          <w:b/>
          <w:color w:val="000000"/>
          <w:sz w:val="24"/>
          <w:szCs w:val="24"/>
        </w:rPr>
        <w:t xml:space="preserve"> целевого сосуда или «спасительного» применения исследуемого препарата в слепом режиме</w: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987A98" w:rsidP="008B69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style="width:302.4pt;height:225.4pt;visibility:visible">
            <v:imagedata r:id="rId16" o:title=""/>
          </v:shape>
        </w:pict>
      </w: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Event-free survival (%)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Выживаемость без событий (%)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Time (days)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Время (дни)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Tirofiban</w:t>
            </w:r>
            <w:proofErr w:type="spellEnd"/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</w:rPr>
              <w:t>Тирофибан</w:t>
            </w:r>
            <w:proofErr w:type="spellEnd"/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Placebo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Плацебо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Number at risk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Число пациентов с риском</w:t>
            </w:r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Tirofiban</w:t>
            </w:r>
            <w:proofErr w:type="spellEnd"/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BC">
              <w:rPr>
                <w:rFonts w:ascii="Times New Roman" w:hAnsi="Times New Roman"/>
                <w:sz w:val="24"/>
                <w:szCs w:val="24"/>
              </w:rPr>
              <w:t>Тирофибан</w:t>
            </w:r>
            <w:proofErr w:type="spellEnd"/>
          </w:p>
        </w:tc>
      </w:tr>
      <w:tr w:rsidR="00CF5A8A" w:rsidRPr="00C623BC" w:rsidTr="00E309BD">
        <w:tc>
          <w:tcPr>
            <w:tcW w:w="4672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623BC">
              <w:rPr>
                <w:rFonts w:ascii="Times New Roman" w:hAnsi="Times New Roman"/>
                <w:sz w:val="24"/>
                <w:szCs w:val="24"/>
                <w:lang w:val="en-GB"/>
              </w:rPr>
              <w:t>Placebo</w:t>
            </w:r>
          </w:p>
        </w:tc>
        <w:tc>
          <w:tcPr>
            <w:tcW w:w="4673" w:type="dxa"/>
          </w:tcPr>
          <w:p w:rsidR="00CF5A8A" w:rsidRPr="00C623BC" w:rsidRDefault="00CF5A8A" w:rsidP="000A19E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623BC">
              <w:rPr>
                <w:rFonts w:ascii="Times New Roman" w:hAnsi="Times New Roman"/>
                <w:sz w:val="24"/>
                <w:szCs w:val="24"/>
              </w:rPr>
              <w:t>Плацебо</w:t>
            </w:r>
          </w:p>
        </w:tc>
      </w:tr>
    </w:tbl>
    <w:p w:rsidR="00CF5A8A" w:rsidRPr="00C623BC" w:rsidRDefault="00CF5A8A" w:rsidP="000A19E7">
      <w:pPr>
        <w:widowControl w:val="0"/>
        <w:spacing w:before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Хорошо известно, что </w:t>
      </w:r>
      <w:proofErr w:type="spellStart"/>
      <w:r w:rsidRPr="00C623BC">
        <w:rPr>
          <w:rFonts w:ascii="Times New Roman" w:hAnsi="Times New Roman"/>
          <w:sz w:val="24"/>
          <w:szCs w:val="24"/>
        </w:rPr>
        <w:t>догоспитальное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установление диагноза и немедленная доставка в ближайший центр ЧКВ уменьшает промежуток времени до начала лечения и улучшает исход заболевания.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30,31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В нашем исследовании диагноз устанавливался и лечение начиналось немедленно на этапе оказания скорой помощи либо врачом, либо прошедшим специальную подготовку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парамедиком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 У 94% пациентов правильный диагноз был установлен только на основании компьютерного алгоритма оценки ЭКГ, без необходимости передачи ЭКГ в больницу для анализа.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Догоспитальное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установление диагноза инфаркта миокарда и лечение на этапе оказания скорой помощи позволяют рано начать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антитромботическую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антитромбоцитарную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терапию, задолго до прибытия в центр ЧКВ и вскоре после возникновения симптомов. </w:t>
      </w:r>
      <w:r w:rsidRPr="00C623BC">
        <w:rPr>
          <w:rFonts w:ascii="Times New Roman" w:hAnsi="Times New Roman"/>
          <w:sz w:val="24"/>
          <w:szCs w:val="24"/>
        </w:rPr>
        <w:t>Кроме того, почти у всех пациентов ЧКВ было проведено в течение 90 минут после установления диагноза инфаркта миокарда, при этом общая длительность ишемии составила 166 минут, что приближается к целевому значению (120 минут), установленному в последнем руководстве по STEMI Американской кардиологической ассоциации и Американской коллегии кардиологов.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32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Неожиданным является то, что раннее лечение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способствовало ускорению восстановления сегмента ST после ЧКВ без существенного улучшения конечного кровотока (TIMI) и свечения миокарда. Это расхождение между </w:t>
      </w:r>
      <w:r w:rsidRPr="00C623BC">
        <w:rPr>
          <w:rFonts w:ascii="Times New Roman" w:hAnsi="Times New Roman"/>
          <w:color w:val="000000"/>
          <w:sz w:val="24"/>
          <w:szCs w:val="24"/>
        </w:rPr>
        <w:lastRenderedPageBreak/>
        <w:t xml:space="preserve">электрокардиографической и ангиографической оценками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реперфузии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миокарда уже было отмечено ранее. </w:t>
      </w:r>
      <w:r w:rsidRPr="00C623BC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C623BC">
        <w:rPr>
          <w:rFonts w:ascii="Times New Roman" w:hAnsi="Times New Roman"/>
          <w:sz w:val="24"/>
          <w:szCs w:val="24"/>
        </w:rPr>
        <w:t>Зволле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по изучению инфаркта миокарда показала, что всего у 65% пациентов с 3-м классом свечения наблюдается полное восстановление сегмента ST.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33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Кроме того,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Poli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соавторы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34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отметили, что у 19% пациентов с непосредственным риском нежелательных явлений имеет место остаточная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элевация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сегмента ST, несмотря на нормальные показатели свечения миокарда.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34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Предполагается, что каждый из этих параметров по-своему характеризует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реперфузию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миокарда; однако оба показателя обладают самостоятельной прогностической ценностью.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35,36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Снижение частоты осложнений ЧКВ вместе с улучшением начального кровотока TIMI и уменьшением частоты дистальной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эмболизации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или невосстановленного дистального кровотока, вероятно, обусловливают улучшение восстановления сегмента ST через 1 час после ЧКВ.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В нашем исследовании показано, что введение высокой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болюсной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дозы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способствует улучшению восстановления сегмента ST на этапе транспортировки в машине скорой помощи, до ЧКВ. После ЧКВ различие между группами по показателям восстановления сегмента ST продолжало увеличиваться, что противоречит данным исследований комбинированных ЧКВ. </w:t>
      </w:r>
      <w:r w:rsidRPr="00C623BC">
        <w:rPr>
          <w:rFonts w:ascii="Times New Roman" w:hAnsi="Times New Roman"/>
          <w:sz w:val="24"/>
          <w:szCs w:val="24"/>
        </w:rPr>
        <w:t xml:space="preserve">В исследовании 4 «Оценка безопасности и эффективности новой стратегии лечения с использованием </w:t>
      </w:r>
      <w:proofErr w:type="spellStart"/>
      <w:r w:rsidRPr="00C623BC">
        <w:rPr>
          <w:rFonts w:ascii="Times New Roman" w:hAnsi="Times New Roman"/>
          <w:sz w:val="24"/>
          <w:szCs w:val="24"/>
        </w:rPr>
        <w:t>чрескожных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коронарных вмешательств» (</w:t>
      </w:r>
      <w:r w:rsidRPr="00C623BC">
        <w:rPr>
          <w:rFonts w:ascii="Times New Roman" w:hAnsi="Times New Roman"/>
          <w:color w:val="000000"/>
          <w:sz w:val="24"/>
          <w:szCs w:val="24"/>
        </w:rPr>
        <w:t>A</w:t>
      </w:r>
      <w:r w:rsidRPr="00C623B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sessment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Safety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Efficacy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Treatment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strategy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percutaneous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coronary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intervention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(ASSENT) 4)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показано положительное влияние восстановления сегмента ST перед ЧКВ; однако этот положительный эффект полностью исчезал после ЧКВ и сопровождался худшими исходами у пациентов, получавших раннее лечение полной дозой тенекплазы.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37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Существует лишь небольшое число стратегий, позволяющих улучшить восстановление сегмента ST после ЧКВ: рутинная аспирация тромбов и детрита из просвета коронарных артерий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26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и ранняя реперфузия.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38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Обе эти тактики также характеризуются четкой связью между восстановлением ST и летальностью. Улучшение восстановления сегмента ST также может быть причиной тенденции к улучшению выживаемости в нашем исследовании. Пока непонятно, приведет ли это улучшение восстановления к преимуществу по показателям летальности в долгосрочной перспективе. Мы намереваемся осуществлять мониторинг клинических исходов на протяжении 1 года после рандомизации.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Трехкомпонентная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антитромбоцитарная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терапия высокими дозами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дополнение к высоким лозам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клопидогреля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(600 мг)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премедикации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аспирином не ассоциируется с повышенным риском серьезных кровотечений. Это может быть связано с тщательно продуманным протоколом подбора дозы гепарина, основывающимся на рутинном измерении активированного времени свертывания в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катетеризационной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лаборатории. Дополнительную дозу гепарина (2500 МЕ) вводили только в том случае, если активированное время свертывания не достигало 200 секунд. Устройство для окклюзии сосуда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Angioseal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Jude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Medical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Сент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-Пол, Миннесота, США) использовалось у 70% пациентов. Кроме того, использование низкомолекулярного гепарина после ЧКВ не приветствовалось, за исключением пациентов с крупноочаговым передним инфарктом миокарда.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sz w:val="24"/>
          <w:szCs w:val="24"/>
        </w:rPr>
        <w:t xml:space="preserve">Основываясь на результатах недавно опубликованного исследования «Обобщенные результаты </w:t>
      </w:r>
      <w:proofErr w:type="spellStart"/>
      <w:r w:rsidRPr="00C623BC">
        <w:rPr>
          <w:rFonts w:ascii="Times New Roman" w:hAnsi="Times New Roman"/>
          <w:sz w:val="24"/>
          <w:szCs w:val="24"/>
        </w:rPr>
        <w:t>реваскуляризации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623BC">
        <w:rPr>
          <w:rFonts w:ascii="Times New Roman" w:hAnsi="Times New Roman"/>
          <w:sz w:val="24"/>
          <w:szCs w:val="24"/>
        </w:rPr>
        <w:t>стентирования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при остром инфаркте миокарда» (</w:t>
      </w:r>
      <w:proofErr w:type="spellStart"/>
      <w:r w:rsidRPr="00C623BC">
        <w:rPr>
          <w:rFonts w:ascii="Times New Roman" w:hAnsi="Times New Roman"/>
          <w:sz w:val="24"/>
          <w:szCs w:val="24"/>
        </w:rPr>
        <w:t>Harmonizing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Outcomes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with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Revascularization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and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Stents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in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Acute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Myocardial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sz w:val="24"/>
          <w:szCs w:val="24"/>
        </w:rPr>
        <w:t>Infarction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- HORIZONS-AMI),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39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можно предположить, что в целях снижения риска кровотечений лучше было бы заменить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нефракционированный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гепарин и блокатор гликопротеина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бивалирудином.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39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Однако в этом исследовании высокая частота серьезных кровотечений в группе, получавшей ингибитор гликопротеина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отчасти могла быть обусловлена менее строгим протоколом применения гепарина (гепарин вводился как до [76%], так и во время [99%] процедуры, а целевое активированное время свертывания составляло 250 секунд). Кроме того, блокатор гликопротеина вводился довольно поздно </w:t>
      </w:r>
      <w:r w:rsidRPr="00C623BC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 возникновения симптомов (более чем через 2 ч), то есть терялась возможность улучшить восстановление сегмента ST. В связи с этим, прежде чем переходить 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бивалирудин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у пациентов, которым проводится первичное ЧКВ по поводу STEMI, необходимо провести исследование, в котором применение двух лекарственных препаратов будет сравниваться на этапе оказания скорой помощи, вскоре после возникновения симптомов.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Мощность нашего исследования не позволяла оценить разницу клинических исходов между группами лечения. Однако мы отметили улучшение клинических исходов у пациентов, входивших в группе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в сравнении с группой плацебо; это касалось снижения общей летальности и уменьшения частоты повторного ЧКВ. Клиническая значимость необходимости экстренного применения исследуемого препарата может быть поставлена под сомнение. Тем не менее сильная связь между серьезными нежелательными кардиологическими явлениями и необходимостью проведения экстренной терапии служит подтверждением тенденции к улучшению клинических исходов при ранней терапии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В рамках подготовки к проведению двойного слепого исследования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-TIME 2 два участвующих центра в Нидерландах на этапе скорой помощи в открытом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рандомизированном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режиме у 414 пациентов либо вводили высокие дозы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либо не использовали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тирофибан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при этом использовались те же, что и в основном исследовании, критерии включения и исключения и сопутствующая терапия. </w:t>
      </w:r>
      <w:r w:rsidRPr="00C623BC">
        <w:rPr>
          <w:rFonts w:ascii="Times New Roman" w:hAnsi="Times New Roman"/>
          <w:sz w:val="24"/>
          <w:szCs w:val="24"/>
        </w:rPr>
        <w:t>При объединении данных этих 414 участников открытого исследования и 984 пациентов, включенных в двойное слепое исследование (N</w:t>
      </w:r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=</w:t>
      </w:r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 xml:space="preserve">1398) было показано, что частота серьезных нежелательных кардиологических явлений при раннем </w:t>
      </w:r>
      <w:proofErr w:type="spellStart"/>
      <w:r w:rsidRPr="00C623BC">
        <w:rPr>
          <w:rFonts w:ascii="Times New Roman" w:hAnsi="Times New Roman"/>
          <w:sz w:val="24"/>
          <w:szCs w:val="24"/>
        </w:rPr>
        <w:t>догоспитальном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начале введения высоких </w:t>
      </w:r>
      <w:proofErr w:type="spellStart"/>
      <w:r w:rsidRPr="00C623BC">
        <w:rPr>
          <w:rFonts w:ascii="Times New Roman" w:hAnsi="Times New Roman"/>
          <w:sz w:val="24"/>
          <w:szCs w:val="24"/>
        </w:rPr>
        <w:t>болюсных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доз </w:t>
      </w:r>
      <w:proofErr w:type="spellStart"/>
      <w:r w:rsidRPr="00C623BC">
        <w:rPr>
          <w:rFonts w:ascii="Times New Roman" w:hAnsi="Times New Roman"/>
          <w:sz w:val="24"/>
          <w:szCs w:val="24"/>
        </w:rPr>
        <w:t>тирофибана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существенно снижалась (5,8% в сравнении с 8,6%; </w:t>
      </w:r>
      <w:proofErr w:type="gramStart"/>
      <w:r w:rsidRPr="00C623BC">
        <w:rPr>
          <w:rFonts w:ascii="Times New Roman" w:hAnsi="Times New Roman"/>
          <w:sz w:val="24"/>
          <w:szCs w:val="24"/>
        </w:rPr>
        <w:t>р</w:t>
      </w:r>
      <w:proofErr w:type="gramEnd"/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=</w:t>
      </w:r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 xml:space="preserve">0,043), что сопровождалось снижением летальности (2,2% в сравнении с 4,1%; </w:t>
      </w:r>
      <w:proofErr w:type="gramStart"/>
      <w:r w:rsidRPr="00C623BC">
        <w:rPr>
          <w:rFonts w:ascii="Times New Roman" w:hAnsi="Times New Roman"/>
          <w:sz w:val="24"/>
          <w:szCs w:val="24"/>
        </w:rPr>
        <w:t>р</w:t>
      </w:r>
      <w:proofErr w:type="gramEnd"/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=</w:t>
      </w:r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0,051) и не приводило к увеличению риска серьезных кровотечений (3,4% в сравнении с 2,9%; р</w:t>
      </w:r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=</w:t>
      </w:r>
      <w:r w:rsidR="0028276E">
        <w:rPr>
          <w:rFonts w:ascii="Times New Roman" w:hAnsi="Times New Roman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0,581; неопубликованные данные).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sz w:val="24"/>
          <w:szCs w:val="24"/>
        </w:rPr>
        <w:t>Хотя комбинация результатов двух исследований с разным дизайном (открытого и двойного слепого) имеет статистические ограничения, эти результаты служат дополнительным подтверждением результатов нашего основного исследования.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Информация о количестве соответствующих критериям отбора пациентов, прошедших скрининг для включения в исследование, ограничена. Предполагается, что доля пациентов,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рандомизированных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в исследование, составила около 50-80% от числа пациентов, среди которых проводился скрининг. Журнал ведения скрининга или исключений трудно вести в условиях оказания скорой помощи. Большинство пациентов были исключены в связи с тем, что они не соответствовали критериям включения или исключения или из-за того, что алгоритм ЭКГ, применявшийся в условиях оказания скорой помощи, не позволял установить четкий диагноз инфаркта миокарда. Таким образом, ограничением </w:t>
      </w:r>
      <w:r w:rsidR="00203FC9">
        <w:rPr>
          <w:rFonts w:ascii="Times New Roman" w:hAnsi="Times New Roman"/>
          <w:color w:val="000000"/>
          <w:sz w:val="24"/>
          <w:szCs w:val="24"/>
        </w:rPr>
        <w:t>этого</w:t>
      </w:r>
      <w:bookmarkStart w:id="0" w:name="_GoBack"/>
      <w:bookmarkEnd w:id="0"/>
      <w:r w:rsidRPr="00C623BC">
        <w:rPr>
          <w:rFonts w:ascii="Times New Roman" w:hAnsi="Times New Roman"/>
          <w:color w:val="000000"/>
          <w:sz w:val="24"/>
          <w:szCs w:val="24"/>
        </w:rPr>
        <w:t xml:space="preserve"> исследования является то, что его результаты, возможно, не могут быть применены к пациентам с кардиогенным шоком, почечной недостаточностью или лицам преклонного возраста (&gt;</w:t>
      </w:r>
      <w:r w:rsidR="002827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23BC">
        <w:rPr>
          <w:rFonts w:ascii="Times New Roman" w:hAnsi="Times New Roman"/>
          <w:color w:val="000000"/>
          <w:sz w:val="24"/>
          <w:szCs w:val="24"/>
        </w:rPr>
        <w:t xml:space="preserve">85 лет). Кроме того, в исследовании не изучался вопрос о том, оказывают ли благоприятный эффект ингибиторы гликопротеина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при введении в иных условиях, помимо скорой помощи или специализированного центра ЧКВ. </w:t>
      </w:r>
      <w:r w:rsidRPr="00C623BC">
        <w:rPr>
          <w:rFonts w:ascii="Times New Roman" w:hAnsi="Times New Roman"/>
          <w:sz w:val="24"/>
          <w:szCs w:val="24"/>
        </w:rPr>
        <w:t xml:space="preserve">Несмотря на то, что во многих исследованиях продемонстрирован положительный эффект рутинного применения блокаторов </w:t>
      </w:r>
      <w:proofErr w:type="spellStart"/>
      <w:r w:rsidRPr="00C623BC">
        <w:rPr>
          <w:rFonts w:ascii="Times New Roman" w:hAnsi="Times New Roman"/>
          <w:sz w:val="24"/>
          <w:szCs w:val="24"/>
        </w:rPr>
        <w:t>IIb</w:t>
      </w:r>
      <w:proofErr w:type="spellEnd"/>
      <w:r w:rsidRPr="00C623BC">
        <w:rPr>
          <w:rFonts w:ascii="Times New Roman" w:hAnsi="Times New Roman"/>
          <w:sz w:val="24"/>
          <w:szCs w:val="24"/>
        </w:rPr>
        <w:t>/</w:t>
      </w:r>
      <w:proofErr w:type="spellStart"/>
      <w:r w:rsidRPr="00C623BC">
        <w:rPr>
          <w:rFonts w:ascii="Times New Roman" w:hAnsi="Times New Roman"/>
          <w:sz w:val="24"/>
          <w:szCs w:val="24"/>
        </w:rPr>
        <w:t>IIIa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623BC">
        <w:rPr>
          <w:rFonts w:ascii="Times New Roman" w:hAnsi="Times New Roman"/>
          <w:sz w:val="24"/>
          <w:szCs w:val="24"/>
        </w:rPr>
        <w:t>катетеризационной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лаборатории до проведения ЧКВ, результаты исследования BRAVE 3 свидетельствуют о меньшей эффективности при начале введения этих препаратов в </w:t>
      </w:r>
      <w:proofErr w:type="spellStart"/>
      <w:r w:rsidRPr="00C623BC">
        <w:rPr>
          <w:rFonts w:ascii="Times New Roman" w:hAnsi="Times New Roman"/>
          <w:sz w:val="24"/>
          <w:szCs w:val="24"/>
        </w:rPr>
        <w:t>катетеризационной</w:t>
      </w:r>
      <w:proofErr w:type="spellEnd"/>
      <w:r w:rsidRPr="00C623BC">
        <w:rPr>
          <w:rFonts w:ascii="Times New Roman" w:hAnsi="Times New Roman"/>
          <w:sz w:val="24"/>
          <w:szCs w:val="24"/>
        </w:rPr>
        <w:t xml:space="preserve"> лаборатории, если у пациентов ранее были применены высокие дозы клопидогреля.</w:t>
      </w:r>
      <w:r w:rsidRPr="00C623BC">
        <w:rPr>
          <w:rFonts w:ascii="Times New Roman" w:hAnsi="Times New Roman"/>
          <w:color w:val="000000"/>
          <w:sz w:val="24"/>
          <w:szCs w:val="24"/>
          <w:vertAlign w:val="superscript"/>
        </w:rPr>
        <w:t>28</w:t>
      </w:r>
    </w:p>
    <w:p w:rsidR="00CF5A8A" w:rsidRDefault="00CF5A8A" w:rsidP="008B6955">
      <w:pPr>
        <w:rPr>
          <w:rFonts w:ascii="Times New Roman" w:hAnsi="Times New Roman"/>
          <w:sz w:val="24"/>
          <w:szCs w:val="24"/>
        </w:rPr>
        <w:sectPr w:rsidR="00CF5A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A8A" w:rsidRPr="00C623BC" w:rsidRDefault="00CF5A8A" w:rsidP="008B6955">
      <w:pPr>
        <w:rPr>
          <w:rFonts w:ascii="Times New Roman" w:hAnsi="Times New Roman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color w:val="000000"/>
          <w:sz w:val="24"/>
          <w:szCs w:val="24"/>
        </w:rPr>
        <w:t>Вклад авторов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AWJvtH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JtB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CH обеспечили формирование общей концепции и плана исследования.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AWJvtH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JtB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CH совместно с TH,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WvW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JPO и HS провели анализ и интерпретацию данных. TD обеспечивал координацию проведения исследования в Германии. RCF,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GvH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PS осуществляли координацию проведения исследования и обеспечивали набор пациентов в Марбурге,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Энсхеде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Утрехте.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AWJvtH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написал первый проект отчета. Все авторы выполнили критический анализ отчета на предмет значимого интеллектуального содержания и одобрили окончательную версию рукописи.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AWJvtH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получал финансовые ресурсы от компании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Merck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color w:val="000000"/>
          <w:sz w:val="24"/>
          <w:szCs w:val="24"/>
        </w:rPr>
        <w:t>Заявление о конфликте интересов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AWJvtH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получал гонорар в качестве лектора от компаний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Merck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Sanofi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Aventis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Schering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Plough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. CH получал гонорары в качестве члена консультативного совета и лектора от компаний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Merck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Iroko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Lilly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GlaxoSmithKline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Sanofi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Aventis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Medicines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Company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Roche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Abbott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. Все остальные авторы заявляют об отсутствии конфликта интересов.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623BC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color w:val="000000"/>
          <w:sz w:val="24"/>
          <w:szCs w:val="24"/>
        </w:rPr>
        <w:t>Благодарности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  <w:r w:rsidRPr="00C623BC">
        <w:rPr>
          <w:rFonts w:ascii="Times New Roman" w:hAnsi="Times New Roman"/>
          <w:color w:val="000000"/>
          <w:sz w:val="24"/>
          <w:szCs w:val="24"/>
        </w:rPr>
        <w:t xml:space="preserve">Исследование было частично профинансировано за счет неограничительного гранта компании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Merck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Co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Уайтхаус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23BC">
        <w:rPr>
          <w:rFonts w:ascii="Times New Roman" w:hAnsi="Times New Roman"/>
          <w:color w:val="000000"/>
          <w:sz w:val="24"/>
          <w:szCs w:val="24"/>
        </w:rPr>
        <w:t>Стейшн</w:t>
      </w:r>
      <w:proofErr w:type="spellEnd"/>
      <w:r w:rsidRPr="00C623BC">
        <w:rPr>
          <w:rFonts w:ascii="Times New Roman" w:hAnsi="Times New Roman"/>
          <w:color w:val="000000"/>
          <w:sz w:val="24"/>
          <w:szCs w:val="24"/>
        </w:rPr>
        <w:t>, Нью-Джерси, США). Мы благодарим служащих скорой помощи, которые приняли участие в исследовании, за сотрудничество и набор пациентов.</w:t>
      </w:r>
    </w:p>
    <w:p w:rsidR="00CF5A8A" w:rsidRPr="00C623BC" w:rsidRDefault="00CF5A8A" w:rsidP="008B6955">
      <w:pPr>
        <w:widowControl w:val="0"/>
        <w:rPr>
          <w:rFonts w:ascii="Times New Roman" w:hAnsi="Times New Roman"/>
          <w:color w:val="000000"/>
          <w:sz w:val="24"/>
          <w:szCs w:val="24"/>
        </w:rPr>
      </w:pPr>
    </w:p>
    <w:p w:rsidR="00CF5A8A" w:rsidRPr="00CE5969" w:rsidRDefault="00CF5A8A" w:rsidP="008B695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  <w:r w:rsidRPr="00C623BC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sectPr w:rsidR="00CF5A8A" w:rsidRPr="00CE5969" w:rsidSect="005A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77" w:rsidRDefault="00785677" w:rsidP="00C623BC">
      <w:pPr>
        <w:spacing w:before="0"/>
      </w:pPr>
      <w:r>
        <w:separator/>
      </w:r>
    </w:p>
  </w:endnote>
  <w:endnote w:type="continuationSeparator" w:id="0">
    <w:p w:rsidR="00785677" w:rsidRDefault="00785677" w:rsidP="00C623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6E" w:rsidRDefault="00282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6E" w:rsidRDefault="0028276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03FC9">
      <w:rPr>
        <w:noProof/>
      </w:rPr>
      <w:t>21</w:t>
    </w:r>
    <w:r>
      <w:rPr>
        <w:noProof/>
      </w:rPr>
      <w:fldChar w:fldCharType="end"/>
    </w:r>
  </w:p>
  <w:p w:rsidR="0028276E" w:rsidRDefault="00282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6E" w:rsidRDefault="00282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77" w:rsidRDefault="00785677" w:rsidP="00C623BC">
      <w:pPr>
        <w:spacing w:before="0"/>
      </w:pPr>
      <w:r>
        <w:separator/>
      </w:r>
    </w:p>
  </w:footnote>
  <w:footnote w:type="continuationSeparator" w:id="0">
    <w:p w:rsidR="00785677" w:rsidRDefault="00785677" w:rsidP="00C623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6E" w:rsidRDefault="00282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6E" w:rsidRDefault="00282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6E" w:rsidRDefault="00282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438"/>
    <w:rsid w:val="000A19E7"/>
    <w:rsid w:val="001036D3"/>
    <w:rsid w:val="001146FC"/>
    <w:rsid w:val="001B2B58"/>
    <w:rsid w:val="001D57F2"/>
    <w:rsid w:val="00203FC9"/>
    <w:rsid w:val="0028276E"/>
    <w:rsid w:val="002C64ED"/>
    <w:rsid w:val="002D2B86"/>
    <w:rsid w:val="002D6656"/>
    <w:rsid w:val="00314813"/>
    <w:rsid w:val="00316468"/>
    <w:rsid w:val="0035568C"/>
    <w:rsid w:val="004D1007"/>
    <w:rsid w:val="004D602C"/>
    <w:rsid w:val="0050106D"/>
    <w:rsid w:val="005674BE"/>
    <w:rsid w:val="005A716A"/>
    <w:rsid w:val="005F5994"/>
    <w:rsid w:val="00646D4D"/>
    <w:rsid w:val="00785677"/>
    <w:rsid w:val="007C37CC"/>
    <w:rsid w:val="007F6E76"/>
    <w:rsid w:val="008A4673"/>
    <w:rsid w:val="008B6955"/>
    <w:rsid w:val="008E0FD9"/>
    <w:rsid w:val="009733FF"/>
    <w:rsid w:val="00987A98"/>
    <w:rsid w:val="00A41C68"/>
    <w:rsid w:val="00B23E02"/>
    <w:rsid w:val="00B54438"/>
    <w:rsid w:val="00B86F40"/>
    <w:rsid w:val="00BA4507"/>
    <w:rsid w:val="00C0634E"/>
    <w:rsid w:val="00C12DB7"/>
    <w:rsid w:val="00C623BC"/>
    <w:rsid w:val="00CE5969"/>
    <w:rsid w:val="00CF1A6B"/>
    <w:rsid w:val="00CF5A8A"/>
    <w:rsid w:val="00D502CE"/>
    <w:rsid w:val="00D53645"/>
    <w:rsid w:val="00D976EC"/>
    <w:rsid w:val="00DC4390"/>
    <w:rsid w:val="00E0630E"/>
    <w:rsid w:val="00E309BD"/>
    <w:rsid w:val="00E84EA3"/>
    <w:rsid w:val="00EB5D53"/>
    <w:rsid w:val="00FB2573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6A"/>
    <w:pPr>
      <w:spacing w:before="120"/>
      <w:jc w:val="both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аголовок №3"/>
    <w:basedOn w:val="Normal"/>
    <w:uiPriority w:val="99"/>
    <w:rPr>
      <w:rFonts w:ascii="Times New Roman" w:hAnsi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99"/>
    <w:pPr>
      <w:spacing w:after="100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99"/>
    <w:pPr>
      <w:spacing w:after="100"/>
      <w:ind w:left="221" w:right="567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99"/>
    <w:pPr>
      <w:spacing w:after="100"/>
      <w:ind w:left="440"/>
    </w:pPr>
    <w:rPr>
      <w:rFonts w:ascii="Times New Roman" w:hAnsi="Times New Roman"/>
      <w:sz w:val="24"/>
    </w:rPr>
  </w:style>
  <w:style w:type="paragraph" w:customStyle="1" w:styleId="4">
    <w:name w:val="Заголовок №4"/>
    <w:basedOn w:val="3"/>
    <w:autoRedefine/>
    <w:uiPriority w:val="99"/>
    <w:pPr>
      <w:tabs>
        <w:tab w:val="right" w:pos="9206"/>
      </w:tabs>
    </w:pPr>
  </w:style>
  <w:style w:type="paragraph" w:styleId="TableofFigures">
    <w:name w:val="table of figures"/>
    <w:basedOn w:val="Normal"/>
    <w:next w:val="Normal"/>
    <w:uiPriority w:val="99"/>
    <w:pPr>
      <w:spacing w:before="0"/>
      <w:ind w:left="440" w:hanging="440"/>
      <w:jc w:val="left"/>
    </w:pPr>
    <w:rPr>
      <w:rFonts w:ascii="Times New Roman" w:hAnsi="Times New Roman" w:cs="Calibri"/>
      <w:bCs/>
      <w:sz w:val="24"/>
      <w:szCs w:val="20"/>
    </w:rPr>
  </w:style>
  <w:style w:type="paragraph" w:customStyle="1" w:styleId="5">
    <w:name w:val="Заголовок №5"/>
    <w:basedOn w:val="Normal"/>
    <w:autoRedefine/>
    <w:uiPriority w:val="99"/>
    <w:rPr>
      <w:rFonts w:ascii="Times New Roman" w:hAnsi="Times New Roman"/>
      <w:sz w:val="24"/>
    </w:rPr>
  </w:style>
  <w:style w:type="character" w:customStyle="1" w:styleId="30">
    <w:name w:val="Основной текст (3)_"/>
    <w:link w:val="31"/>
    <w:uiPriority w:val="99"/>
    <w:locked/>
    <w:rPr>
      <w:rFonts w:ascii="Segoe UI" w:eastAsia="Times New Roman" w:hAnsi="Segoe UI"/>
      <w:b/>
      <w:sz w:val="30"/>
      <w:lang w:val="ru-RU"/>
    </w:rPr>
  </w:style>
  <w:style w:type="paragraph" w:customStyle="1" w:styleId="31">
    <w:name w:val="Основной текст (3)"/>
    <w:basedOn w:val="Normal"/>
    <w:link w:val="30"/>
    <w:uiPriority w:val="99"/>
    <w:pPr>
      <w:widowControl w:val="0"/>
      <w:shd w:val="clear" w:color="auto" w:fill="FFFFFF"/>
      <w:spacing w:before="0" w:line="240" w:lineRule="atLeast"/>
      <w:jc w:val="left"/>
    </w:pPr>
    <w:rPr>
      <w:rFonts w:ascii="Segoe UI" w:hAnsi="Segoe UI"/>
      <w:b/>
      <w:bCs/>
      <w:sz w:val="30"/>
      <w:szCs w:val="30"/>
      <w:lang w:eastAsia="ru-RU"/>
    </w:rPr>
  </w:style>
  <w:style w:type="character" w:customStyle="1" w:styleId="40">
    <w:name w:val="Основной текст (4)_"/>
    <w:uiPriority w:val="99"/>
    <w:rPr>
      <w:rFonts w:ascii="Segoe UI" w:eastAsia="Times New Roman" w:hAnsi="Segoe UI"/>
      <w:i/>
      <w:sz w:val="14"/>
      <w:u w:val="none"/>
      <w:lang w:val="ru-RU"/>
    </w:rPr>
  </w:style>
  <w:style w:type="character" w:customStyle="1" w:styleId="41">
    <w:name w:val="Основной текст (4)"/>
    <w:uiPriority w:val="99"/>
    <w:rPr>
      <w:rFonts w:ascii="Segoe UI" w:eastAsia="Times New Roman" w:hAnsi="Segoe UI"/>
      <w:i/>
      <w:color w:val="000000"/>
      <w:spacing w:val="0"/>
      <w:w w:val="100"/>
      <w:position w:val="0"/>
      <w:sz w:val="14"/>
      <w:u w:val="none"/>
      <w:lang w:val="ru-RU" w:eastAsia="en-US"/>
    </w:rPr>
  </w:style>
  <w:style w:type="character" w:customStyle="1" w:styleId="2">
    <w:name w:val="Заголовок №2_"/>
    <w:link w:val="20"/>
    <w:uiPriority w:val="99"/>
    <w:locked/>
    <w:rPr>
      <w:rFonts w:ascii="Times New Roman" w:hAnsi="Times New Roman"/>
      <w:sz w:val="20"/>
      <w:lang w:val="ru-RU"/>
    </w:rPr>
  </w:style>
  <w:style w:type="character" w:customStyle="1" w:styleId="2SegoeUI">
    <w:name w:val="Заголовок №2 + Segoe UI"/>
    <w:aliases w:val="9,5 pt,Полужирный"/>
    <w:uiPriority w:val="99"/>
    <w:rPr>
      <w:rFonts w:ascii="Segoe UI" w:eastAsia="Times New Roman" w:hAnsi="Segoe UI"/>
      <w:b/>
      <w:color w:val="000000"/>
      <w:spacing w:val="0"/>
      <w:w w:val="100"/>
      <w:position w:val="0"/>
      <w:sz w:val="19"/>
      <w:lang w:val="ru-RU" w:eastAsia="en-US"/>
    </w:rPr>
  </w:style>
  <w:style w:type="character" w:customStyle="1" w:styleId="6">
    <w:name w:val="Основной текст (6)_"/>
    <w:link w:val="60"/>
    <w:uiPriority w:val="99"/>
    <w:locked/>
    <w:rPr>
      <w:rFonts w:ascii="Sylfaen" w:eastAsia="Times New Roman" w:hAnsi="Sylfaen"/>
      <w:b/>
      <w:sz w:val="17"/>
      <w:lang w:val="ru-RU"/>
    </w:rPr>
  </w:style>
  <w:style w:type="character" w:customStyle="1" w:styleId="6SegoeUI">
    <w:name w:val="Основной текст (6) + Segoe UI"/>
    <w:aliases w:val="7,5 pt3"/>
    <w:uiPriority w:val="99"/>
    <w:rPr>
      <w:rFonts w:ascii="Segoe UI" w:eastAsia="Times New Roman" w:hAnsi="Segoe UI"/>
      <w:b/>
      <w:color w:val="000000"/>
      <w:spacing w:val="0"/>
      <w:w w:val="100"/>
      <w:position w:val="0"/>
      <w:sz w:val="15"/>
      <w:lang w:val="ru-RU" w:eastAsia="en-US"/>
    </w:rPr>
  </w:style>
  <w:style w:type="paragraph" w:customStyle="1" w:styleId="20">
    <w:name w:val="Заголовок №2"/>
    <w:basedOn w:val="Normal"/>
    <w:link w:val="2"/>
    <w:uiPriority w:val="99"/>
    <w:pPr>
      <w:widowControl w:val="0"/>
      <w:shd w:val="clear" w:color="auto" w:fill="FFFFFF"/>
      <w:spacing w:before="0"/>
      <w:jc w:val="left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Normal"/>
    <w:link w:val="6"/>
    <w:uiPriority w:val="99"/>
    <w:pPr>
      <w:widowControl w:val="0"/>
      <w:shd w:val="clear" w:color="auto" w:fill="FFFFFF"/>
      <w:spacing w:before="0" w:after="180" w:line="216" w:lineRule="exact"/>
    </w:pPr>
    <w:rPr>
      <w:rFonts w:ascii="Sylfaen" w:hAnsi="Sylfaen"/>
      <w:b/>
      <w:bCs/>
      <w:sz w:val="17"/>
      <w:szCs w:val="17"/>
      <w:lang w:eastAsia="ru-RU"/>
    </w:rPr>
  </w:style>
  <w:style w:type="character" w:customStyle="1" w:styleId="21">
    <w:name w:val="Основной текст (2)_"/>
    <w:link w:val="22"/>
    <w:uiPriority w:val="99"/>
    <w:locked/>
    <w:rPr>
      <w:rFonts w:ascii="Sylfaen" w:eastAsia="Times New Roman" w:hAnsi="Sylfaen"/>
      <w:sz w:val="17"/>
      <w:lang w:val="ru-RU"/>
    </w:rPr>
  </w:style>
  <w:style w:type="character" w:customStyle="1" w:styleId="50">
    <w:name w:val="Основной текст (5)_"/>
    <w:uiPriority w:val="99"/>
    <w:rPr>
      <w:rFonts w:ascii="Segoe UI" w:eastAsia="Times New Roman" w:hAnsi="Segoe UI"/>
      <w:b/>
      <w:sz w:val="19"/>
      <w:u w:val="none"/>
      <w:lang w:val="ru-RU"/>
    </w:rPr>
  </w:style>
  <w:style w:type="character" w:customStyle="1" w:styleId="51">
    <w:name w:val="Основной текст (5)"/>
    <w:uiPriority w:val="99"/>
    <w:rPr>
      <w:rFonts w:ascii="Segoe UI" w:eastAsia="Times New Roman" w:hAnsi="Segoe UI"/>
      <w:b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8">
    <w:name w:val="Основной текст (8)_"/>
    <w:link w:val="80"/>
    <w:uiPriority w:val="99"/>
    <w:locked/>
    <w:rPr>
      <w:rFonts w:ascii="Segoe UI" w:eastAsia="Times New Roman" w:hAnsi="Segoe UI"/>
      <w:b/>
      <w:sz w:val="16"/>
      <w:lang w:val="ru-RU"/>
    </w:rPr>
  </w:style>
  <w:style w:type="paragraph" w:customStyle="1" w:styleId="22">
    <w:name w:val="Основной текст (2)"/>
    <w:basedOn w:val="Normal"/>
    <w:link w:val="21"/>
    <w:uiPriority w:val="99"/>
    <w:pPr>
      <w:widowControl w:val="0"/>
      <w:shd w:val="clear" w:color="auto" w:fill="FFFFFF"/>
      <w:spacing w:before="0" w:line="216" w:lineRule="exact"/>
    </w:pPr>
    <w:rPr>
      <w:rFonts w:ascii="Sylfaen" w:hAnsi="Sylfaen"/>
      <w:sz w:val="17"/>
      <w:szCs w:val="17"/>
      <w:lang w:eastAsia="ru-RU"/>
    </w:rPr>
  </w:style>
  <w:style w:type="paragraph" w:customStyle="1" w:styleId="80">
    <w:name w:val="Основной текст (8)"/>
    <w:basedOn w:val="Normal"/>
    <w:link w:val="8"/>
    <w:uiPriority w:val="99"/>
    <w:pPr>
      <w:widowControl w:val="0"/>
      <w:shd w:val="clear" w:color="auto" w:fill="FFFFFF"/>
      <w:spacing w:before="0" w:line="216" w:lineRule="exact"/>
    </w:pPr>
    <w:rPr>
      <w:rFonts w:ascii="Segoe UI" w:hAnsi="Segoe UI"/>
      <w:b/>
      <w:bCs/>
      <w:sz w:val="16"/>
      <w:szCs w:val="16"/>
      <w:lang w:eastAsia="ru-RU"/>
    </w:rPr>
  </w:style>
  <w:style w:type="character" w:styleId="Hyperlink">
    <w:name w:val="Hyperlink"/>
    <w:uiPriority w:val="99"/>
    <w:rPr>
      <w:rFonts w:cs="Times New Roman"/>
      <w:color w:val="0066CC"/>
      <w:u w:val="single"/>
      <w:lang w:val="ru-RU"/>
    </w:rPr>
  </w:style>
  <w:style w:type="character" w:customStyle="1" w:styleId="7">
    <w:name w:val="Основной текст (7)_"/>
    <w:link w:val="70"/>
    <w:uiPriority w:val="99"/>
    <w:locked/>
    <w:rPr>
      <w:rFonts w:ascii="Segoe UI" w:eastAsia="Times New Roman" w:hAnsi="Segoe UI"/>
      <w:b/>
      <w:sz w:val="11"/>
      <w:lang w:val="ru-RU"/>
    </w:rPr>
  </w:style>
  <w:style w:type="paragraph" w:customStyle="1" w:styleId="70">
    <w:name w:val="Основной текст (7)"/>
    <w:basedOn w:val="Normal"/>
    <w:link w:val="7"/>
    <w:uiPriority w:val="99"/>
    <w:pPr>
      <w:widowControl w:val="0"/>
      <w:shd w:val="clear" w:color="auto" w:fill="FFFFFF"/>
      <w:spacing w:before="300" w:line="240" w:lineRule="atLeast"/>
    </w:pPr>
    <w:rPr>
      <w:rFonts w:ascii="Segoe UI" w:hAnsi="Segoe UI"/>
      <w:b/>
      <w:bCs/>
      <w:sz w:val="11"/>
      <w:szCs w:val="11"/>
      <w:lang w:eastAsia="ru-RU"/>
    </w:rPr>
  </w:style>
  <w:style w:type="character" w:customStyle="1" w:styleId="a">
    <w:name w:val="Подпись к картинке_"/>
    <w:link w:val="a0"/>
    <w:uiPriority w:val="99"/>
    <w:locked/>
    <w:rPr>
      <w:rFonts w:ascii="Segoe UI" w:eastAsia="Times New Roman" w:hAnsi="Segoe UI"/>
      <w:sz w:val="11"/>
      <w:lang w:val="ru-RU"/>
    </w:rPr>
  </w:style>
  <w:style w:type="character" w:customStyle="1" w:styleId="Sylfaen">
    <w:name w:val="Подпись к картинке + Sylfaen"/>
    <w:aliases w:val="6,5 pt2,Курсив"/>
    <w:uiPriority w:val="99"/>
    <w:rPr>
      <w:rFonts w:ascii="Sylfaen" w:eastAsia="Times New Roman" w:hAnsi="Sylfaen"/>
      <w:i/>
      <w:color w:val="000000"/>
      <w:spacing w:val="0"/>
      <w:w w:val="100"/>
      <w:position w:val="0"/>
      <w:sz w:val="13"/>
      <w:lang w:val="ru-RU" w:eastAsia="en-US"/>
    </w:rPr>
  </w:style>
  <w:style w:type="paragraph" w:customStyle="1" w:styleId="a0">
    <w:name w:val="Подпись к картинке"/>
    <w:basedOn w:val="Normal"/>
    <w:link w:val="a"/>
    <w:uiPriority w:val="99"/>
    <w:pPr>
      <w:widowControl w:val="0"/>
      <w:shd w:val="clear" w:color="auto" w:fill="FFFFFF"/>
      <w:spacing w:before="0" w:line="240" w:lineRule="atLeast"/>
      <w:jc w:val="left"/>
    </w:pPr>
    <w:rPr>
      <w:rFonts w:ascii="Segoe UI" w:hAnsi="Segoe UI"/>
      <w:sz w:val="11"/>
      <w:szCs w:val="11"/>
      <w:lang w:eastAsia="ru-RU"/>
    </w:rPr>
  </w:style>
  <w:style w:type="character" w:customStyle="1" w:styleId="a1">
    <w:name w:val="Подпись к таблице_"/>
    <w:link w:val="a2"/>
    <w:uiPriority w:val="99"/>
    <w:locked/>
    <w:rPr>
      <w:rFonts w:ascii="Segoe UI" w:eastAsia="Times New Roman" w:hAnsi="Segoe UI"/>
      <w:sz w:val="11"/>
      <w:lang w:val="ru-RU"/>
    </w:rPr>
  </w:style>
  <w:style w:type="paragraph" w:customStyle="1" w:styleId="a2">
    <w:name w:val="Подпись к таблице"/>
    <w:basedOn w:val="Normal"/>
    <w:link w:val="a1"/>
    <w:uiPriority w:val="99"/>
    <w:pPr>
      <w:widowControl w:val="0"/>
      <w:shd w:val="clear" w:color="auto" w:fill="FFFFFF"/>
      <w:spacing w:before="0" w:line="240" w:lineRule="atLeast"/>
      <w:jc w:val="left"/>
    </w:pPr>
    <w:rPr>
      <w:rFonts w:ascii="Segoe UI" w:hAnsi="Segoe UI"/>
      <w:sz w:val="11"/>
      <w:szCs w:val="11"/>
      <w:lang w:eastAsia="ru-RU"/>
    </w:rPr>
  </w:style>
  <w:style w:type="character" w:customStyle="1" w:styleId="9">
    <w:name w:val="Основной текст (9)_"/>
    <w:link w:val="90"/>
    <w:uiPriority w:val="99"/>
    <w:locked/>
    <w:rPr>
      <w:rFonts w:ascii="Segoe UI" w:eastAsia="Times New Roman" w:hAnsi="Segoe UI"/>
      <w:sz w:val="11"/>
      <w:lang w:val="ru-RU"/>
    </w:rPr>
  </w:style>
  <w:style w:type="character" w:customStyle="1" w:styleId="9Sylfaen">
    <w:name w:val="Основной текст (9) + Sylfaen"/>
    <w:aliases w:val="61,5 pt1,Курсив1"/>
    <w:uiPriority w:val="99"/>
    <w:rPr>
      <w:rFonts w:ascii="Sylfaen" w:eastAsia="Times New Roman" w:hAnsi="Sylfaen"/>
      <w:i/>
      <w:color w:val="000000"/>
      <w:spacing w:val="0"/>
      <w:w w:val="100"/>
      <w:position w:val="0"/>
      <w:sz w:val="13"/>
      <w:lang w:val="ru-RU" w:eastAsia="en-US"/>
    </w:rPr>
  </w:style>
  <w:style w:type="paragraph" w:customStyle="1" w:styleId="90">
    <w:name w:val="Основной текст (9)"/>
    <w:basedOn w:val="Normal"/>
    <w:link w:val="9"/>
    <w:uiPriority w:val="99"/>
    <w:pPr>
      <w:widowControl w:val="0"/>
      <w:shd w:val="clear" w:color="auto" w:fill="FFFFFF"/>
      <w:spacing w:before="0" w:line="173" w:lineRule="exact"/>
      <w:ind w:hanging="320"/>
      <w:jc w:val="left"/>
    </w:pPr>
    <w:rPr>
      <w:rFonts w:ascii="Segoe UI" w:hAnsi="Segoe UI"/>
      <w:sz w:val="11"/>
      <w:szCs w:val="11"/>
      <w:lang w:eastAsia="ru-RU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">
    <w:name w:val="Основной текст (2) + Calibri"/>
    <w:aliases w:val="6 pt"/>
    <w:uiPriority w:val="99"/>
    <w:rPr>
      <w:rFonts w:ascii="Calibri" w:eastAsia="Times New Roman" w:hAnsi="Calibri"/>
      <w:color w:val="000000"/>
      <w:spacing w:val="0"/>
      <w:w w:val="100"/>
      <w:position w:val="0"/>
      <w:sz w:val="12"/>
      <w:u w:val="none"/>
      <w:lang w:val="ru-RU" w:eastAsia="en-US"/>
    </w:rPr>
  </w:style>
  <w:style w:type="paragraph" w:styleId="Header">
    <w:name w:val="header"/>
    <w:basedOn w:val="Normal"/>
    <w:link w:val="HeaderChar"/>
    <w:uiPriority w:val="99"/>
    <w:rsid w:val="00C623BC"/>
    <w:pPr>
      <w:tabs>
        <w:tab w:val="center" w:pos="4677"/>
        <w:tab w:val="right" w:pos="9355"/>
      </w:tabs>
      <w:spacing w:before="0"/>
    </w:pPr>
  </w:style>
  <w:style w:type="character" w:customStyle="1" w:styleId="HeaderChar">
    <w:name w:val="Header Char"/>
    <w:link w:val="Header"/>
    <w:uiPriority w:val="99"/>
    <w:locked/>
    <w:rsid w:val="00C623BC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623BC"/>
    <w:pPr>
      <w:tabs>
        <w:tab w:val="center" w:pos="4677"/>
        <w:tab w:val="right" w:pos="9355"/>
      </w:tabs>
      <w:spacing w:before="0"/>
    </w:pPr>
  </w:style>
  <w:style w:type="character" w:customStyle="1" w:styleId="FooterChar">
    <w:name w:val="Footer Char"/>
    <w:link w:val="Footer"/>
    <w:uiPriority w:val="99"/>
    <w:locked/>
    <w:rsid w:val="00C623B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6336</Words>
  <Characters>41887</Characters>
  <Application>Microsoft Office Word</Application>
  <DocSecurity>0</DocSecurity>
  <Lines>1196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зак. №540, 2018 г.</dc:description>
  <cp:lastModifiedBy/>
  <cp:revision>1</cp:revision>
  <dcterms:created xsi:type="dcterms:W3CDTF">2018-09-23T12:20:00Z</dcterms:created>
  <dcterms:modified xsi:type="dcterms:W3CDTF">2018-09-23T13:36:00Z</dcterms:modified>
</cp:coreProperties>
</file>